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B5" w:rsidRPr="009B4175" w:rsidRDefault="00C60FB5" w:rsidP="009B4175">
      <w:pPr>
        <w:pStyle w:val="1"/>
        <w:numPr>
          <w:ilvl w:val="0"/>
          <w:numId w:val="0"/>
        </w:numPr>
        <w:spacing w:before="0" w:after="0" w:line="720" w:lineRule="auto"/>
        <w:ind w:left="419" w:hangingChars="116" w:hanging="419"/>
        <w:jc w:val="center"/>
        <w:rPr>
          <w:rFonts w:ascii="仿宋" w:eastAsia="仿宋" w:hAnsi="仿宋" w:cs="Times New Roman"/>
          <w:kern w:val="0"/>
          <w:sz w:val="36"/>
          <w:szCs w:val="36"/>
        </w:rPr>
      </w:pPr>
      <w:bookmarkStart w:id="0" w:name="_Toc14101092"/>
      <w:bookmarkStart w:id="1" w:name="_Toc14101425"/>
      <w:bookmarkStart w:id="2" w:name="_Toc14162741"/>
      <w:bookmarkStart w:id="3" w:name="_Toc14178292"/>
      <w:bookmarkStart w:id="4" w:name="_Toc14186249"/>
      <w:bookmarkStart w:id="5" w:name="_Toc14251414"/>
      <w:bookmarkStart w:id="6" w:name="_Toc14858679"/>
      <w:r w:rsidRPr="009B4175">
        <w:rPr>
          <w:rFonts w:ascii="仿宋" w:eastAsia="仿宋" w:hAnsi="仿宋" w:cs="Times New Roman" w:hint="eastAsia"/>
          <w:kern w:val="0"/>
          <w:sz w:val="36"/>
          <w:szCs w:val="36"/>
        </w:rPr>
        <w:t>银行业增值税纳税申报代理业务指引</w:t>
      </w:r>
      <w:bookmarkEnd w:id="0"/>
      <w:bookmarkEnd w:id="1"/>
      <w:bookmarkEnd w:id="2"/>
      <w:bookmarkEnd w:id="3"/>
      <w:bookmarkEnd w:id="4"/>
      <w:bookmarkEnd w:id="5"/>
      <w:bookmarkEnd w:id="6"/>
    </w:p>
    <w:p w:rsidR="00C60FB5" w:rsidRPr="009B4175" w:rsidRDefault="00C60FB5" w:rsidP="00C60FB5">
      <w:pPr>
        <w:spacing w:line="360" w:lineRule="auto"/>
        <w:jc w:val="center"/>
        <w:rPr>
          <w:rFonts w:ascii="仿宋" w:eastAsia="仿宋" w:hAnsi="仿宋" w:cs="Times New Roman"/>
          <w:b/>
          <w:kern w:val="0"/>
          <w:sz w:val="36"/>
          <w:szCs w:val="36"/>
        </w:rPr>
      </w:pPr>
      <w:r w:rsidRPr="009B4175">
        <w:rPr>
          <w:rFonts w:ascii="仿宋" w:eastAsia="仿宋" w:hAnsi="仿宋" w:cs="Times New Roman" w:hint="eastAsia"/>
          <w:b/>
          <w:kern w:val="0"/>
          <w:sz w:val="36"/>
          <w:szCs w:val="36"/>
        </w:rPr>
        <w:t>（试行）</w:t>
      </w:r>
    </w:p>
    <w:p w:rsidR="00C60FB5" w:rsidRPr="00E83937" w:rsidRDefault="00C60FB5" w:rsidP="00C60FB5">
      <w:pPr>
        <w:pStyle w:val="2"/>
        <w:jc w:val="center"/>
        <w:rPr>
          <w:rFonts w:ascii="仿宋" w:eastAsia="仿宋" w:hAnsi="仿宋" w:cs="宋体"/>
          <w:b w:val="0"/>
          <w:kern w:val="0"/>
        </w:rPr>
      </w:pPr>
      <w:bookmarkStart w:id="7" w:name="_Toc14101093"/>
      <w:bookmarkStart w:id="8" w:name="_Toc14101426"/>
      <w:bookmarkStart w:id="9" w:name="_Toc14162742"/>
      <w:r w:rsidRPr="00E83937">
        <w:rPr>
          <w:rFonts w:ascii="仿宋" w:eastAsia="仿宋" w:hAnsi="仿宋" w:cs="宋体" w:hint="eastAsia"/>
          <w:kern w:val="0"/>
        </w:rPr>
        <w:t>第一章</w:t>
      </w:r>
      <w:r w:rsidRPr="00E83937">
        <w:rPr>
          <w:rFonts w:ascii="仿宋" w:eastAsia="仿宋" w:hAnsi="仿宋" w:cs="宋体"/>
          <w:kern w:val="0"/>
        </w:rPr>
        <w:t xml:space="preserve"> </w:t>
      </w:r>
      <w:r w:rsidRPr="00E83937">
        <w:rPr>
          <w:rFonts w:ascii="仿宋" w:eastAsia="仿宋" w:hAnsi="仿宋" w:cs="宋体" w:hint="eastAsia"/>
          <w:kern w:val="0"/>
        </w:rPr>
        <w:t>总</w:t>
      </w:r>
      <w:r w:rsidRPr="00E83937">
        <w:rPr>
          <w:rFonts w:ascii="仿宋" w:eastAsia="仿宋" w:hAnsi="仿宋" w:cs="宋体"/>
          <w:kern w:val="0"/>
        </w:rPr>
        <w:t xml:space="preserve"> </w:t>
      </w:r>
      <w:r w:rsidRPr="00E83937">
        <w:rPr>
          <w:rFonts w:ascii="仿宋" w:eastAsia="仿宋" w:hAnsi="仿宋" w:cs="宋体" w:hint="eastAsia"/>
          <w:kern w:val="0"/>
        </w:rPr>
        <w:t>则</w:t>
      </w:r>
      <w:bookmarkEnd w:id="7"/>
      <w:bookmarkEnd w:id="8"/>
      <w:bookmarkEnd w:id="9"/>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第一条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为规范税务师事务所及其涉税服务人员提供银行业增值税纳税申报代理服务行为，提高执业质量，防范执业风险，根据《涉税专业服务监管办法</w:t>
      </w:r>
      <w:r w:rsidRPr="00E83937">
        <w:rPr>
          <w:rFonts w:ascii="仿宋" w:eastAsia="仿宋" w:hAnsi="仿宋"/>
          <w:kern w:val="0"/>
          <w:sz w:val="32"/>
          <w:szCs w:val="32"/>
        </w:rPr>
        <w:t>(试行)》</w:t>
      </w:r>
      <w:r w:rsidRPr="00E83937">
        <w:rPr>
          <w:rFonts w:ascii="仿宋" w:eastAsia="仿宋" w:hAnsi="仿宋" w:hint="eastAsia"/>
          <w:kern w:val="0"/>
          <w:sz w:val="32"/>
          <w:szCs w:val="32"/>
        </w:rPr>
        <w:t>（国家税务总局公告</w:t>
      </w:r>
      <w:r w:rsidRPr="00E83937">
        <w:rPr>
          <w:rFonts w:ascii="仿宋" w:eastAsia="仿宋" w:hAnsi="仿宋"/>
          <w:kern w:val="0"/>
          <w:sz w:val="32"/>
          <w:szCs w:val="32"/>
        </w:rPr>
        <w:t>2017年第13号）和中国注册税务师协会《纳税申报代理业务指引（试行）》</w:t>
      </w:r>
      <w:r w:rsidRPr="00E83937">
        <w:rPr>
          <w:rFonts w:ascii="仿宋" w:eastAsia="仿宋" w:hAnsi="仿宋" w:hint="eastAsia"/>
          <w:kern w:val="0"/>
          <w:sz w:val="32"/>
          <w:szCs w:val="32"/>
        </w:rPr>
        <w:t>、《增值税纳税申报代理业务指引（试行）》，制定本指引。</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税务师事务所及其涉税服务人员承办银行业增值税纳税申报代理业务适用本指引。除本指引规范事项外，承办银行业增值税纳税申报代理业务适用《纳税申报代理业务指引（试行）》及《增值税纳税申报代理业务指引（试行）》。</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第三条 </w:t>
      </w:r>
      <w:r w:rsidRPr="00E83937">
        <w:rPr>
          <w:rFonts w:ascii="仿宋" w:eastAsia="仿宋" w:hAnsi="仿宋" w:hint="eastAsia"/>
          <w:kern w:val="0"/>
          <w:sz w:val="32"/>
          <w:szCs w:val="32"/>
        </w:rPr>
        <w:t>本指引所称银行业增值税纳税申报代理业务，是指税务师事务所接受银行业纳税人、扣缴义务人（以下简称“委托人”）委托，双方确立代理关系，指派本机构涉税服务人员对委托人提供的资料进行归集和专业判断，代理委托人进行增值税纳税申报（以下简称“纳税申报”）准备和填报增值税纳税申报表、增值税扣缴税款报告表（以下简称“申报表”）以及相关文件，并完成增值税纳税申报的服务行为。</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lastRenderedPageBreak/>
        <w:t>银行业</w:t>
      </w:r>
      <w:proofErr w:type="gramStart"/>
      <w:r w:rsidRPr="00E83937">
        <w:rPr>
          <w:rFonts w:ascii="仿宋" w:eastAsia="仿宋" w:hAnsi="仿宋" w:hint="eastAsia"/>
          <w:kern w:val="0"/>
          <w:sz w:val="32"/>
          <w:szCs w:val="32"/>
        </w:rPr>
        <w:t>从事资管产品</w:t>
      </w:r>
      <w:proofErr w:type="gramEnd"/>
      <w:r w:rsidRPr="00E83937">
        <w:rPr>
          <w:rFonts w:ascii="仿宋" w:eastAsia="仿宋" w:hAnsi="仿宋" w:hint="eastAsia"/>
          <w:kern w:val="0"/>
          <w:sz w:val="32"/>
          <w:szCs w:val="32"/>
        </w:rPr>
        <w:t>等特定增值税业务，不包括在本业务指引范围内。</w:t>
      </w:r>
    </w:p>
    <w:p w:rsidR="00C60FB5" w:rsidRPr="00E83937" w:rsidRDefault="00C60FB5" w:rsidP="00C60FB5">
      <w:pPr>
        <w:spacing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第四条</w:t>
      </w:r>
      <w:r w:rsidRPr="00E83937">
        <w:rPr>
          <w:rFonts w:ascii="仿宋" w:eastAsia="仿宋" w:hAnsi="仿宋" w:hint="eastAsia"/>
          <w:kern w:val="0"/>
          <w:sz w:val="32"/>
          <w:szCs w:val="32"/>
        </w:rPr>
        <w:t xml:space="preserve"> 税务师事务所及其涉税服务人员承办银行业增值税纳税申报代理业务应当按照法律、行政法规及相关规定的期限和内容，代理委托人如实向税务机关办理增值税纳税申报和报送纳税资料，做到申报资料齐全、逻辑关系正确、税额（费）计算准确、纳税申报及时。</w:t>
      </w:r>
    </w:p>
    <w:p w:rsidR="00C60FB5" w:rsidRPr="00E83937" w:rsidRDefault="00C60FB5" w:rsidP="00C60FB5">
      <w:pPr>
        <w:spacing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第五条</w:t>
      </w:r>
      <w:r w:rsidRPr="00E83937">
        <w:rPr>
          <w:rFonts w:ascii="仿宋" w:eastAsia="仿宋" w:hAnsi="仿宋" w:hint="eastAsia"/>
          <w:kern w:val="0"/>
          <w:sz w:val="32"/>
          <w:szCs w:val="32"/>
        </w:rPr>
        <w:t xml:space="preserve"> 税务师事务所及其涉税服务人员提供银行业增值税纳税申报</w:t>
      </w:r>
      <w:r w:rsidRPr="00E83937">
        <w:rPr>
          <w:rFonts w:ascii="仿宋" w:eastAsia="仿宋" w:hAnsi="仿宋" w:hint="eastAsia"/>
          <w:color w:val="000000"/>
          <w:kern w:val="0"/>
          <w:sz w:val="32"/>
          <w:szCs w:val="32"/>
        </w:rPr>
        <w:t>代理</w:t>
      </w:r>
      <w:r w:rsidRPr="00E83937">
        <w:rPr>
          <w:rFonts w:ascii="仿宋" w:eastAsia="仿宋" w:hAnsi="仿宋" w:hint="eastAsia"/>
          <w:kern w:val="0"/>
          <w:sz w:val="32"/>
          <w:szCs w:val="32"/>
        </w:rPr>
        <w:t>服务，应当按照《税务师行业涉税专业服务程序指引（试行）》和《纳税申报代理业务指引（试行）》执行业务承接、业务委派、业务计划、归集资料、专业判断、业务实施、后续管理、业务成果、业务记录等一般流程。</w:t>
      </w:r>
    </w:p>
    <w:p w:rsidR="00C60FB5" w:rsidRPr="00E83937" w:rsidRDefault="00C60FB5" w:rsidP="00C60FB5">
      <w:pPr>
        <w:pStyle w:val="2"/>
        <w:jc w:val="center"/>
        <w:rPr>
          <w:rFonts w:ascii="仿宋" w:eastAsia="仿宋" w:hAnsi="仿宋" w:cs="宋体"/>
          <w:b w:val="0"/>
          <w:kern w:val="0"/>
        </w:rPr>
      </w:pPr>
      <w:bookmarkStart w:id="10" w:name="_Toc14101094"/>
      <w:bookmarkStart w:id="11" w:name="_Toc14101427"/>
      <w:bookmarkStart w:id="12" w:name="_Toc14162743"/>
      <w:r w:rsidRPr="00E83937">
        <w:rPr>
          <w:rFonts w:ascii="仿宋" w:eastAsia="仿宋" w:hAnsi="仿宋" w:cs="宋体" w:hint="eastAsia"/>
          <w:kern w:val="0"/>
        </w:rPr>
        <w:t>第二章</w:t>
      </w:r>
      <w:r w:rsidRPr="00E83937">
        <w:rPr>
          <w:rFonts w:ascii="仿宋" w:eastAsia="仿宋" w:hAnsi="仿宋" w:cs="宋体"/>
          <w:kern w:val="0"/>
        </w:rPr>
        <w:t xml:space="preserve"> </w:t>
      </w:r>
      <w:r w:rsidRPr="00E83937">
        <w:rPr>
          <w:rFonts w:ascii="仿宋" w:eastAsia="仿宋" w:hAnsi="仿宋" w:cs="宋体" w:hint="eastAsia"/>
          <w:kern w:val="0"/>
        </w:rPr>
        <w:t>业务实施</w:t>
      </w:r>
      <w:bookmarkEnd w:id="10"/>
      <w:bookmarkEnd w:id="11"/>
      <w:bookmarkEnd w:id="12"/>
    </w:p>
    <w:p w:rsidR="00C60FB5" w:rsidRPr="00E83937" w:rsidRDefault="00C60FB5" w:rsidP="00C60FB5">
      <w:pPr>
        <w:pStyle w:val="3"/>
        <w:jc w:val="center"/>
        <w:rPr>
          <w:rFonts w:ascii="仿宋" w:eastAsia="仿宋" w:hAnsi="仿宋" w:cs="宋体"/>
          <w:b w:val="0"/>
          <w:kern w:val="0"/>
        </w:rPr>
      </w:pPr>
      <w:bookmarkStart w:id="13" w:name="_Toc14101095"/>
      <w:r w:rsidRPr="00E83937">
        <w:rPr>
          <w:rFonts w:ascii="仿宋" w:eastAsia="仿宋" w:hAnsi="仿宋" w:cs="宋体" w:hint="eastAsia"/>
          <w:kern w:val="0"/>
        </w:rPr>
        <w:t>第一节 资料收集</w:t>
      </w:r>
      <w:bookmarkEnd w:id="13"/>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第六条 </w:t>
      </w:r>
      <w:r w:rsidRPr="00E83937">
        <w:rPr>
          <w:rFonts w:ascii="仿宋" w:eastAsia="仿宋" w:hAnsi="仿宋" w:hint="eastAsia"/>
          <w:kern w:val="0"/>
          <w:sz w:val="32"/>
          <w:szCs w:val="32"/>
        </w:rPr>
        <w:t>综合评价银行业增值税纳税申报代理服务的执业风险，对涉税业务进行充分评估。</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（一）了解银行外部情况，判断银行遵守执行中国银行保险监督管理委员会等机构规章制度及准则的情况；</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（二）掌握银行内部基本情况，包括银行总分支结构情况；银行资产、利润规模与质量；银行资产配置、资金来源、经营业务等；</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lastRenderedPageBreak/>
        <w:t>（三）了解银行增值税纳税申报相关信息，包括纳税评估、税务稽查、纳税申报资料、增值税一般纳税人登记信息、增值税发票信息、税收优惠享受情况等。尤其了解委托人或委托人指向的第三人的主要股东、关键管理人员与治理层是否涉及增值税税收违法活动；</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（四）了解银行内部控制情况、财务会计核算方法及其审计结论等信息；</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（五）了解银行业务系统中的增值税相关系统参数配置情况。</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（六）其他与银行业增值税纳税申报服务相关的事项。</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第七条</w:t>
      </w:r>
      <w:r w:rsidRPr="00E83937">
        <w:rPr>
          <w:rFonts w:ascii="仿宋" w:eastAsia="仿宋" w:hAnsi="仿宋" w:hint="eastAsia"/>
          <w:kern w:val="0"/>
          <w:sz w:val="32"/>
          <w:szCs w:val="32"/>
        </w:rPr>
        <w:t xml:space="preserve"> 银行业增值税纳税申报代理业务开展时，应根据委托人不同的情况，要求其提供相应的基础资料、税务申报计算资料、实现汇总纳税的分支机构预缴税款完税凭证资料、增值税发票相关资料、备案资料等。</w:t>
      </w:r>
    </w:p>
    <w:p w:rsidR="00C60FB5" w:rsidRPr="00E83937" w:rsidRDefault="00C60FB5" w:rsidP="00C60FB5">
      <w:pPr>
        <w:pStyle w:val="3"/>
        <w:jc w:val="center"/>
        <w:rPr>
          <w:rFonts w:ascii="仿宋" w:eastAsia="仿宋" w:hAnsi="仿宋" w:cs="宋体"/>
          <w:b w:val="0"/>
          <w:kern w:val="0"/>
        </w:rPr>
      </w:pPr>
      <w:bookmarkStart w:id="14" w:name="_Toc14101096"/>
      <w:r w:rsidRPr="00E83937">
        <w:rPr>
          <w:rFonts w:ascii="仿宋" w:eastAsia="仿宋" w:hAnsi="仿宋" w:cs="宋体" w:hint="eastAsia"/>
          <w:kern w:val="0"/>
        </w:rPr>
        <w:t>第二节 销售额关注事项</w:t>
      </w:r>
      <w:bookmarkEnd w:id="14"/>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第八条</w:t>
      </w:r>
      <w:r w:rsidRPr="00E83937">
        <w:rPr>
          <w:rFonts w:ascii="仿宋" w:eastAsia="仿宋" w:hAnsi="仿宋" w:hint="eastAsia"/>
          <w:kern w:val="0"/>
          <w:sz w:val="32"/>
          <w:szCs w:val="32"/>
        </w:rPr>
        <w:t xml:space="preserve"> 贷款利息收入销售额关注事项。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贷款合同是否于应付利息日期确认利息收入；对未签订贷款合同或者贷款合同未确定应付利息日期的，是否在收取利息收入的当天确认收入实现。应收利息、利息收入、贷款等会计科目金额和银行贷款合同、结息清单等原始凭证，是否按照合同约定的利率和时间确认利息收入。区分各种贷</w:t>
      </w:r>
      <w:r w:rsidRPr="00E83937">
        <w:rPr>
          <w:rFonts w:ascii="仿宋" w:eastAsia="仿宋" w:hAnsi="仿宋" w:hint="eastAsia"/>
          <w:kern w:val="0"/>
          <w:sz w:val="32"/>
          <w:szCs w:val="32"/>
        </w:rPr>
        <w:lastRenderedPageBreak/>
        <w:t>款的性质，是否按国家规定的贷款利率计算利息，有无降低利率少计利息收入现象；</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（二）银行发放贷款后，自结息日</w:t>
      </w:r>
      <w:r w:rsidRPr="00E83937">
        <w:rPr>
          <w:rFonts w:ascii="仿宋" w:eastAsia="仿宋" w:hAnsi="仿宋"/>
          <w:kern w:val="0"/>
          <w:sz w:val="32"/>
          <w:szCs w:val="32"/>
        </w:rPr>
        <w:t>90天内发生的应收未收利息</w:t>
      </w:r>
      <w:r w:rsidRPr="00E83937">
        <w:rPr>
          <w:rFonts w:ascii="仿宋" w:eastAsia="仿宋" w:hAnsi="仿宋" w:hint="eastAsia"/>
          <w:kern w:val="0"/>
          <w:sz w:val="32"/>
          <w:szCs w:val="32"/>
        </w:rPr>
        <w:t>。应收利息和利息收入会计科目金额，是否存在</w:t>
      </w:r>
      <w:r w:rsidRPr="00E83937">
        <w:rPr>
          <w:rFonts w:ascii="仿宋" w:eastAsia="仿宋" w:hAnsi="仿宋"/>
          <w:kern w:val="0"/>
          <w:sz w:val="32"/>
          <w:szCs w:val="32"/>
        </w:rPr>
        <w:t>90天内应收未收利息冲销应收利息和利息收入，从而减少应税销售额，在实际收到利息收入时计入销售额的情况</w:t>
      </w:r>
      <w:r w:rsidRPr="00E83937">
        <w:rPr>
          <w:rFonts w:ascii="仿宋" w:eastAsia="仿宋" w:hAnsi="仿宋" w:hint="eastAsia"/>
          <w:kern w:val="0"/>
          <w:sz w:val="32"/>
          <w:szCs w:val="32"/>
        </w:rPr>
        <w:t>；</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（三）银行发放贷款后，自结息日起</w:t>
      </w:r>
      <w:r w:rsidRPr="00E83937">
        <w:rPr>
          <w:rFonts w:ascii="仿宋" w:eastAsia="仿宋" w:hAnsi="仿宋"/>
          <w:kern w:val="0"/>
          <w:sz w:val="32"/>
          <w:szCs w:val="32"/>
        </w:rPr>
        <w:t>90天后发生的应收未收利息，结合银行表外项目，</w:t>
      </w:r>
      <w:r w:rsidRPr="00E83937">
        <w:rPr>
          <w:rFonts w:ascii="仿宋" w:eastAsia="仿宋" w:hAnsi="仿宋" w:hint="eastAsia"/>
          <w:kern w:val="0"/>
          <w:sz w:val="32"/>
          <w:szCs w:val="32"/>
        </w:rPr>
        <w:t>不需</w:t>
      </w:r>
      <w:r w:rsidRPr="00E83937">
        <w:rPr>
          <w:rFonts w:ascii="仿宋" w:eastAsia="仿宋" w:hAnsi="仿宋"/>
          <w:kern w:val="0"/>
          <w:sz w:val="32"/>
          <w:szCs w:val="32"/>
        </w:rPr>
        <w:t>计入当期销售额。</w:t>
      </w:r>
      <w:r w:rsidRPr="00E83937">
        <w:rPr>
          <w:rFonts w:ascii="仿宋" w:eastAsia="仿宋" w:hAnsi="仿宋" w:hint="eastAsia"/>
          <w:kern w:val="0"/>
          <w:sz w:val="32"/>
          <w:szCs w:val="32"/>
        </w:rPr>
        <w:t>追踪测试表外项目，是否在实际收回利息收入时，按规定确认当期销售额；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（四）</w:t>
      </w:r>
      <w:r w:rsidRPr="00E83937">
        <w:rPr>
          <w:rFonts w:ascii="仿宋" w:eastAsia="仿宋" w:hAnsi="仿宋"/>
          <w:kern w:val="0"/>
          <w:sz w:val="32"/>
          <w:szCs w:val="32"/>
        </w:rPr>
        <w:t>银行贷款的分类，针对不良贷款计提减值准备，是否存在</w:t>
      </w:r>
      <w:proofErr w:type="gramStart"/>
      <w:r w:rsidRPr="00E83937">
        <w:rPr>
          <w:rFonts w:ascii="仿宋" w:eastAsia="仿宋" w:hAnsi="仿宋" w:hint="eastAsia"/>
          <w:kern w:val="0"/>
          <w:sz w:val="32"/>
          <w:szCs w:val="32"/>
        </w:rPr>
        <w:t>冲减已计应税</w:t>
      </w:r>
      <w:proofErr w:type="gramEnd"/>
      <w:r w:rsidRPr="00E83937">
        <w:rPr>
          <w:rFonts w:ascii="仿宋" w:eastAsia="仿宋" w:hAnsi="仿宋" w:hint="eastAsia"/>
          <w:kern w:val="0"/>
          <w:sz w:val="32"/>
          <w:szCs w:val="32"/>
        </w:rPr>
        <w:t>销售额。对呆账坏账收回情况，是否及时确认利息收入；</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（五）银行</w:t>
      </w:r>
      <w:r w:rsidRPr="00E83937">
        <w:rPr>
          <w:rFonts w:ascii="仿宋" w:eastAsia="仿宋" w:hAnsi="仿宋"/>
          <w:kern w:val="0"/>
          <w:sz w:val="32"/>
          <w:szCs w:val="32"/>
        </w:rPr>
        <w:t>特殊销售方式</w:t>
      </w:r>
      <w:r w:rsidRPr="00E83937">
        <w:rPr>
          <w:rFonts w:ascii="仿宋" w:eastAsia="仿宋" w:hAnsi="仿宋" w:hint="eastAsia"/>
          <w:kern w:val="0"/>
          <w:sz w:val="32"/>
          <w:szCs w:val="32"/>
        </w:rPr>
        <w:t>。豁免的表内利息和豁免的表外利息，是否按照规定抵减当期销售额。发生开票有误或者销售折让、中止、退回等情形，是否按照规定开具红字增值税专用发票。</w:t>
      </w:r>
      <w:r w:rsidRPr="00E83937" w:rsidDel="005C1380">
        <w:rPr>
          <w:rFonts w:ascii="仿宋" w:eastAsia="仿宋" w:hAnsi="仿宋" w:hint="eastAsia"/>
          <w:kern w:val="0"/>
          <w:sz w:val="32"/>
          <w:szCs w:val="32"/>
        </w:rPr>
        <w:t xml:space="preserve"> </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第九条</w:t>
      </w:r>
      <w:r w:rsidRPr="00E83937">
        <w:rPr>
          <w:rFonts w:ascii="仿宋" w:eastAsia="仿宋" w:hAnsi="仿宋" w:hint="eastAsia"/>
          <w:kern w:val="0"/>
          <w:sz w:val="32"/>
          <w:szCs w:val="32"/>
        </w:rPr>
        <w:t xml:space="preserve"> 金融机构往来收入销售额关注事项。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（一）银行与金融机构往来收入是否属于免征增值税范围。重点关注：银行与人民银行所发生的资金往来业务；银行</w:t>
      </w:r>
      <w:hyperlink r:id="rId8" w:tgtFrame="_blank" w:history="1">
        <w:r w:rsidRPr="00E83937">
          <w:rPr>
            <w:rFonts w:ascii="仿宋" w:eastAsia="仿宋" w:hAnsi="仿宋" w:hint="eastAsia"/>
            <w:kern w:val="0"/>
            <w:sz w:val="32"/>
            <w:szCs w:val="32"/>
          </w:rPr>
          <w:t>联行往来</w:t>
        </w:r>
      </w:hyperlink>
      <w:r w:rsidRPr="00E83937">
        <w:rPr>
          <w:rFonts w:ascii="仿宋" w:eastAsia="仿宋" w:hAnsi="仿宋" w:hint="eastAsia"/>
          <w:kern w:val="0"/>
          <w:sz w:val="32"/>
          <w:szCs w:val="32"/>
        </w:rPr>
        <w:t>业务；银行与金融机构间的资金往来业务；金融同业往来利息收入业务；同业存款、同业借款、同业代付、</w:t>
      </w:r>
      <w:r w:rsidRPr="00E83937">
        <w:rPr>
          <w:rFonts w:ascii="仿宋" w:eastAsia="仿宋" w:hAnsi="仿宋" w:hint="eastAsia"/>
          <w:kern w:val="0"/>
          <w:sz w:val="32"/>
          <w:szCs w:val="32"/>
        </w:rPr>
        <w:lastRenderedPageBreak/>
        <w:t>买断式买入返售金融商品、持有金融债券、同业存单、质押式买入返售金融商品、持有政策性金融债券等业务；</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w:t>
      </w:r>
      <w:r w:rsidRPr="00E83937">
        <w:rPr>
          <w:rFonts w:ascii="仿宋" w:eastAsia="仿宋" w:hAnsi="仿宋"/>
          <w:kern w:val="0"/>
          <w:sz w:val="32"/>
          <w:szCs w:val="32"/>
        </w:rPr>
        <w:t>不符合</w:t>
      </w:r>
      <w:r w:rsidRPr="00E83937">
        <w:rPr>
          <w:rFonts w:ascii="仿宋" w:eastAsia="仿宋" w:hAnsi="仿宋" w:hint="eastAsia"/>
          <w:kern w:val="0"/>
          <w:sz w:val="32"/>
          <w:szCs w:val="32"/>
        </w:rPr>
        <w:t>免税规定的金融机构往来收入，是否按照规定确认利息收入。</w:t>
      </w:r>
    </w:p>
    <w:p w:rsidR="00C60FB5" w:rsidRPr="00E83937" w:rsidRDefault="00C60FB5" w:rsidP="00C60FB5">
      <w:pPr>
        <w:adjustRightInd w:val="0"/>
        <w:spacing w:line="360" w:lineRule="auto"/>
        <w:ind w:firstLineChars="200" w:firstLine="643"/>
        <w:jc w:val="left"/>
        <w:rPr>
          <w:rFonts w:ascii="仿宋" w:eastAsia="仿宋" w:hAnsi="仿宋"/>
          <w:b/>
          <w:kern w:val="0"/>
          <w:sz w:val="32"/>
          <w:szCs w:val="32"/>
        </w:rPr>
      </w:pPr>
      <w:r w:rsidRPr="00E83937">
        <w:rPr>
          <w:rFonts w:ascii="仿宋" w:eastAsia="仿宋" w:hAnsi="仿宋" w:hint="eastAsia"/>
          <w:b/>
          <w:kern w:val="0"/>
          <w:sz w:val="32"/>
          <w:szCs w:val="32"/>
        </w:rPr>
        <w:t xml:space="preserve">第十条 </w:t>
      </w:r>
      <w:r w:rsidRPr="00E83937">
        <w:rPr>
          <w:rFonts w:ascii="仿宋" w:eastAsia="仿宋" w:hAnsi="仿宋" w:hint="eastAsia"/>
          <w:kern w:val="0"/>
          <w:sz w:val="32"/>
          <w:szCs w:val="32"/>
        </w:rPr>
        <w:t>信用卡透支利息收入销售额关注事项。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（一）银行向客户收取的因透支消费或取现而产生的利息及价外费用，是否正确确认信用卡透支利息收入。银行是否在账单日或客户还款日确认收入的实现；</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（二）信用卡透支利息在逾期超过</w:t>
      </w:r>
      <w:r w:rsidRPr="00E83937">
        <w:rPr>
          <w:rFonts w:ascii="仿宋" w:eastAsia="仿宋" w:hAnsi="仿宋"/>
          <w:kern w:val="0"/>
          <w:sz w:val="32"/>
          <w:szCs w:val="32"/>
        </w:rPr>
        <w:t>90天后</w:t>
      </w:r>
      <w:r w:rsidRPr="00E83937">
        <w:rPr>
          <w:rFonts w:ascii="仿宋" w:eastAsia="仿宋" w:hAnsi="仿宋" w:hint="eastAsia"/>
          <w:kern w:val="0"/>
          <w:sz w:val="32"/>
          <w:szCs w:val="32"/>
        </w:rPr>
        <w:t>，银行是否将账单利息转表外。是否对利息收入进行价税分离，确认销售额，计算增值税额；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（三）表内利息豁免，是否按照销售折扣处理。如销售额和折扣额在同张发票上分别注明的，银行可按照豁免后的利息收入计算缴纳增值税。</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第十一条 </w:t>
      </w:r>
      <w:r w:rsidRPr="00E83937">
        <w:rPr>
          <w:rFonts w:ascii="仿宋" w:eastAsia="仿宋" w:hAnsi="仿宋" w:hint="eastAsia"/>
          <w:kern w:val="0"/>
          <w:sz w:val="32"/>
          <w:szCs w:val="32"/>
        </w:rPr>
        <w:t>融资性售后回租服务销售额关注事项。是否以取得的全部价款和价外费用（不含本金），扣除对外支付的借款利息（包括外汇借款和人民币借款利息）、发行债券利息后的余额进行确认。重点关注融资性售后回租服务中对应的合同和票据，结合出售环节，判定按照贷款服务确认销售额的正确性。</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第十二条  </w:t>
      </w:r>
      <w:r w:rsidRPr="00E83937">
        <w:rPr>
          <w:rFonts w:ascii="仿宋" w:eastAsia="仿宋" w:hAnsi="仿宋" w:hint="eastAsia"/>
          <w:kern w:val="0"/>
          <w:sz w:val="32"/>
          <w:szCs w:val="32"/>
        </w:rPr>
        <w:t>票据贴现业务关注事项。票据贴现业务的种类，贴现业务是否在贴现日确认纳税义务，对贴现</w:t>
      </w:r>
      <w:proofErr w:type="gramStart"/>
      <w:r w:rsidRPr="00E83937">
        <w:rPr>
          <w:rFonts w:ascii="仿宋" w:eastAsia="仿宋" w:hAnsi="仿宋" w:hint="eastAsia"/>
          <w:kern w:val="0"/>
          <w:sz w:val="32"/>
          <w:szCs w:val="32"/>
        </w:rPr>
        <w:t>息</w:t>
      </w:r>
      <w:proofErr w:type="gramEnd"/>
      <w:r w:rsidRPr="00E83937">
        <w:rPr>
          <w:rFonts w:ascii="仿宋" w:eastAsia="仿宋" w:hAnsi="仿宋" w:hint="eastAsia"/>
          <w:kern w:val="0"/>
          <w:sz w:val="32"/>
          <w:szCs w:val="32"/>
        </w:rPr>
        <w:t>区分适</w:t>
      </w:r>
      <w:r w:rsidRPr="00E83937">
        <w:rPr>
          <w:rFonts w:ascii="仿宋" w:eastAsia="仿宋" w:hAnsi="仿宋" w:hint="eastAsia"/>
          <w:kern w:val="0"/>
          <w:sz w:val="32"/>
          <w:szCs w:val="32"/>
        </w:rPr>
        <w:lastRenderedPageBreak/>
        <w:t>用政策时间分别按全额或实际持有票据期间取得的利息收入金额进行价税分离计算缴纳增值税。</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第十三条 </w:t>
      </w:r>
      <w:r w:rsidRPr="00E83937">
        <w:rPr>
          <w:rFonts w:ascii="仿宋" w:eastAsia="仿宋" w:hAnsi="仿宋" w:hint="eastAsia"/>
          <w:kern w:val="0"/>
          <w:sz w:val="32"/>
          <w:szCs w:val="32"/>
        </w:rPr>
        <w:t>金融商品持有期间利息收入销售额关注事项。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（一）金融商品持有期间利息收入的确认时间及时性和金额准确性、利息收入范围界定的全面和免征增值税的区分；</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（二）金融商品持有期间是否按照约定的付息日或出售金融商品同时收到利息的当天确认纳税义务发生时间；</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（三）利息收入是否按债券面值及票面利息计算利息收入；</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四）利息收入包含保本收益、报酬、资金占用费、补偿金等，核实银行是否有将利息收入性质的款项未确认收入，未计入销售额的情况。对银行金融商品持有期间取得的非保本收益、报酬、资金占用费、补偿金等，是否按照不属于利息收入，未征收增值税；</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五）银行持有国债、地方政府债获取的利息收入，是否作为免税收入。银行持有的金融债券、央行票据取得的利息收入，属于同业往来利息收入，作为免税收入。严格区分银行持有金融商品的应税利息收入和免税利息收入的范围。</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第十四条 </w:t>
      </w:r>
      <w:r w:rsidRPr="00E83937">
        <w:rPr>
          <w:rFonts w:ascii="仿宋" w:eastAsia="仿宋" w:hAnsi="仿宋" w:hint="eastAsia"/>
          <w:kern w:val="0"/>
          <w:sz w:val="32"/>
          <w:szCs w:val="32"/>
        </w:rPr>
        <w:t>其他贷款服务的合同、会计账簿核算情况、纳税义务发生时间的确认，当期是否准确确认的贷款服务销售额。</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第十五条</w:t>
      </w:r>
      <w:r w:rsidRPr="00E83937">
        <w:rPr>
          <w:rFonts w:ascii="仿宋" w:eastAsia="仿宋" w:hAnsi="仿宋" w:hint="eastAsia"/>
          <w:kern w:val="0"/>
          <w:sz w:val="32"/>
          <w:szCs w:val="32"/>
        </w:rPr>
        <w:t xml:space="preserve"> 直接收费金融服务销售额关注事项。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lastRenderedPageBreak/>
        <w:t>（一）直接收费金融服务的业务范围，是否包括为货币资金融通及其他金融业务提供相关服务并且收取费用的全部业务活动；</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在货币兑换、账户管理、电子银行、信用卡、信用证、财务担保、资产管理、信托管理、基金管理、金融交易场所（平台）管理、资金结算、资金清算、金融支付等业务中提供的服务，是否按照收取的各类手续费和佣金，在合同约定的付款日期、实际收到款项等时点确认销售额的实现，将含税金额换算为不含税金额，确认销售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（二）银行卡业务中，分别作为发卡机构和收单机构确认的销售额是否准确。结合清算结构、发卡机构和收单机构三方的增值税发票开具情况，其销售额确认的准确性；</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第十六条</w:t>
      </w:r>
      <w:r w:rsidRPr="00E83937">
        <w:rPr>
          <w:rFonts w:ascii="仿宋" w:eastAsia="仿宋" w:hAnsi="仿宋" w:hint="eastAsia"/>
          <w:kern w:val="0"/>
          <w:sz w:val="32"/>
          <w:szCs w:val="32"/>
        </w:rPr>
        <w:t xml:space="preserve"> 金融商品转让销售额关注事项。是否将价差收益确认为金融商品的卖出价扣除买入价后的余额，是否将转让金融商品出现的正负差，按盈亏相抵后的余额为销售额。关注转让过程中收取的手续费、税费等相关费用的税收处理。关注金融商品转让</w:t>
      </w:r>
      <w:proofErr w:type="gramStart"/>
      <w:r w:rsidRPr="00E83937">
        <w:rPr>
          <w:rFonts w:ascii="仿宋" w:eastAsia="仿宋" w:hAnsi="仿宋" w:hint="eastAsia"/>
          <w:kern w:val="0"/>
          <w:sz w:val="32"/>
          <w:szCs w:val="32"/>
        </w:rPr>
        <w:t>年末负差是否</w:t>
      </w:r>
      <w:proofErr w:type="gramEnd"/>
      <w:r w:rsidRPr="00E83937">
        <w:rPr>
          <w:rFonts w:ascii="仿宋" w:eastAsia="仿宋" w:hAnsi="仿宋" w:hint="eastAsia"/>
          <w:kern w:val="0"/>
          <w:sz w:val="32"/>
          <w:szCs w:val="32"/>
        </w:rPr>
        <w:t>存在跨年结转。</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第十七条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银行货物及加工修理修配劳务、应税服务、销售不动产和无形资产销售额关注事项。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（一）银行销售自己使用过的固定资产，是否区分购入时间及抵扣情况等，分别按照规定缴纳增值税；</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（二）银行销售自己使用过的除固定资产外的物品，销</w:t>
      </w:r>
      <w:r w:rsidRPr="00E83937">
        <w:rPr>
          <w:rFonts w:ascii="仿宋" w:eastAsia="仿宋" w:hAnsi="仿宋" w:hint="eastAsia"/>
          <w:kern w:val="0"/>
          <w:sz w:val="32"/>
          <w:szCs w:val="32"/>
        </w:rPr>
        <w:lastRenderedPageBreak/>
        <w:t>售废旧物资等，是否按照规定缴纳增值税；</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三）银行各类赠送行为是否实质属于“无偿”，银行各类赠送行为是否与银行向客户提供金融服务密切相关，银行向客户赠送的是金融服务还是行外服务或货物，对无偿赠送行为均按照视同销售处理确认销售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（四）银行不动产租赁、销售不动产和无形资产的业务，是否按照规定确认销售额，计算缴纳增值税。</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第十八条</w:t>
      </w:r>
      <w:r w:rsidRPr="00E83937">
        <w:rPr>
          <w:rFonts w:ascii="仿宋" w:eastAsia="仿宋" w:hAnsi="仿宋" w:hint="eastAsia"/>
          <w:kern w:val="0"/>
          <w:sz w:val="32"/>
          <w:szCs w:val="32"/>
        </w:rPr>
        <w:t xml:space="preserve"> 银行</w:t>
      </w:r>
      <w:r w:rsidRPr="00E83937">
        <w:rPr>
          <w:rFonts w:ascii="仿宋" w:eastAsia="仿宋" w:hAnsi="仿宋"/>
          <w:kern w:val="0"/>
          <w:sz w:val="32"/>
          <w:szCs w:val="32"/>
        </w:rPr>
        <w:t>即征即</w:t>
      </w:r>
      <w:proofErr w:type="gramStart"/>
      <w:r w:rsidRPr="00E83937">
        <w:rPr>
          <w:rFonts w:ascii="仿宋" w:eastAsia="仿宋" w:hAnsi="仿宋" w:hint="eastAsia"/>
          <w:kern w:val="0"/>
          <w:sz w:val="32"/>
          <w:szCs w:val="32"/>
        </w:rPr>
        <w:t>退项目</w:t>
      </w:r>
      <w:proofErr w:type="gramEnd"/>
      <w:r w:rsidRPr="00E83937">
        <w:rPr>
          <w:rFonts w:ascii="仿宋" w:eastAsia="仿宋" w:hAnsi="仿宋" w:hint="eastAsia"/>
          <w:kern w:val="0"/>
          <w:sz w:val="32"/>
          <w:szCs w:val="32"/>
        </w:rPr>
        <w:t>关注事项。具备资格从事融资租赁业务的银行，提供有形动产融资租赁服务和有形动产融资性售后回租服务，是否按照规定对其增值税实际税负超过</w:t>
      </w:r>
      <w:r w:rsidRPr="00E83937">
        <w:rPr>
          <w:rFonts w:ascii="仿宋" w:eastAsia="仿宋" w:hAnsi="仿宋"/>
          <w:kern w:val="0"/>
          <w:sz w:val="32"/>
          <w:szCs w:val="32"/>
        </w:rPr>
        <w:t>3%的部分实行增值税即征即退。</w:t>
      </w:r>
      <w:r w:rsidRPr="00E83937">
        <w:rPr>
          <w:rFonts w:ascii="仿宋" w:eastAsia="仿宋" w:hAnsi="仿宋" w:hint="eastAsia"/>
          <w:kern w:val="0"/>
          <w:sz w:val="32"/>
          <w:szCs w:val="32"/>
        </w:rPr>
        <w:t>是否符合享受即征即退的标准，是否已经达到政策规定的实收资本标准，是否办理对应备案手续。</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第十九条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纳税人因税务、财政、审计部门检查，按一般计税方法在当期计算调整的销售额关注事项。</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第二十条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纳税人从购买方取得的</w:t>
      </w:r>
      <w:proofErr w:type="gramStart"/>
      <w:r w:rsidRPr="00E83937">
        <w:rPr>
          <w:rFonts w:ascii="仿宋" w:eastAsia="仿宋" w:hAnsi="仿宋" w:hint="eastAsia"/>
          <w:kern w:val="0"/>
          <w:sz w:val="32"/>
          <w:szCs w:val="32"/>
        </w:rPr>
        <w:t>各类价外</w:t>
      </w:r>
      <w:proofErr w:type="gramEnd"/>
      <w:r w:rsidRPr="00E83937">
        <w:rPr>
          <w:rFonts w:ascii="仿宋" w:eastAsia="仿宋" w:hAnsi="仿宋" w:hint="eastAsia"/>
          <w:kern w:val="0"/>
          <w:sz w:val="32"/>
          <w:szCs w:val="32"/>
        </w:rPr>
        <w:t>费用是否按规定入账，在确认销售额时，是否按照适用税率换算为不含税金额。对符合条件的不征税价外费用，关注其实质要件和资料。</w:t>
      </w:r>
    </w:p>
    <w:p w:rsidR="00C60FB5" w:rsidRPr="00E83937" w:rsidRDefault="00C60FB5" w:rsidP="00C60FB5">
      <w:pPr>
        <w:adjustRightInd w:val="0"/>
        <w:spacing w:line="360" w:lineRule="auto"/>
        <w:ind w:firstLineChars="196" w:firstLine="630"/>
        <w:jc w:val="left"/>
        <w:rPr>
          <w:rFonts w:ascii="仿宋" w:eastAsia="仿宋" w:hAnsi="仿宋"/>
          <w:kern w:val="0"/>
          <w:sz w:val="32"/>
          <w:szCs w:val="32"/>
        </w:rPr>
      </w:pPr>
      <w:r w:rsidRPr="00E83937">
        <w:rPr>
          <w:rFonts w:ascii="仿宋" w:eastAsia="仿宋" w:hAnsi="仿宋" w:hint="eastAsia"/>
          <w:b/>
          <w:kern w:val="0"/>
          <w:sz w:val="32"/>
          <w:szCs w:val="32"/>
        </w:rPr>
        <w:t>第二十一条</w:t>
      </w:r>
      <w:r w:rsidRPr="00E83937">
        <w:rPr>
          <w:rFonts w:ascii="仿宋" w:eastAsia="仿宋" w:hAnsi="仿宋" w:hint="eastAsia"/>
          <w:kern w:val="0"/>
          <w:sz w:val="32"/>
          <w:szCs w:val="32"/>
        </w:rPr>
        <w:t xml:space="preserve"> 采用简易计税方法计税的金融服务的资格与备案等手续是否符合政策规定。具体的涉农贷款、特定主体特定区域提供金融服务等，是否按照贷款服务、直接收费</w:t>
      </w:r>
      <w:r w:rsidRPr="00E83937">
        <w:rPr>
          <w:rFonts w:ascii="仿宋" w:eastAsia="仿宋" w:hAnsi="仿宋" w:hint="eastAsia"/>
          <w:kern w:val="0"/>
          <w:sz w:val="32"/>
          <w:szCs w:val="32"/>
        </w:rPr>
        <w:lastRenderedPageBreak/>
        <w:t>金融服务、金融商品转让等按照相关规定确认销售额，以及及时性与准确性。</w:t>
      </w:r>
    </w:p>
    <w:p w:rsidR="00C60FB5" w:rsidRPr="00E83937" w:rsidRDefault="00C60FB5" w:rsidP="00C60FB5">
      <w:pPr>
        <w:pStyle w:val="3"/>
        <w:jc w:val="center"/>
        <w:rPr>
          <w:rFonts w:ascii="仿宋" w:eastAsia="仿宋" w:hAnsi="仿宋" w:cs="宋体"/>
          <w:b w:val="0"/>
          <w:kern w:val="0"/>
        </w:rPr>
      </w:pPr>
      <w:bookmarkStart w:id="15" w:name="_Toc14101097"/>
      <w:r w:rsidRPr="00E83937">
        <w:rPr>
          <w:rFonts w:ascii="仿宋" w:eastAsia="仿宋" w:hAnsi="仿宋" w:cs="宋体" w:hint="eastAsia"/>
          <w:kern w:val="0"/>
        </w:rPr>
        <w:t>第三节</w:t>
      </w:r>
      <w:r w:rsidRPr="00E83937">
        <w:rPr>
          <w:rFonts w:ascii="仿宋" w:eastAsia="仿宋" w:hAnsi="仿宋" w:cs="宋体"/>
          <w:kern w:val="0"/>
        </w:rPr>
        <w:t xml:space="preserve">  </w:t>
      </w:r>
      <w:r w:rsidRPr="00E83937">
        <w:rPr>
          <w:rFonts w:ascii="仿宋" w:eastAsia="仿宋" w:hAnsi="仿宋" w:cs="宋体" w:hint="eastAsia"/>
          <w:kern w:val="0"/>
        </w:rPr>
        <w:t>扣除项目明细关注事项</w:t>
      </w:r>
      <w:bookmarkEnd w:id="15"/>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第二十二条</w:t>
      </w:r>
      <w:r w:rsidRPr="00E83937">
        <w:rPr>
          <w:rFonts w:ascii="仿宋" w:eastAsia="仿宋" w:hAnsi="仿宋" w:hint="eastAsia"/>
          <w:kern w:val="0"/>
          <w:sz w:val="32"/>
          <w:szCs w:val="32"/>
        </w:rPr>
        <w:t xml:space="preserve"> 金融商品转让扣除项目的金额关注事项。对金融商品的买入价，应关注其不包括各种费用和税金，同时折溢价应包含在买入价中进行扣除。</w:t>
      </w:r>
    </w:p>
    <w:p w:rsidR="00C60FB5" w:rsidRPr="00E83937" w:rsidRDefault="00C60FB5" w:rsidP="00C60FB5">
      <w:pPr>
        <w:adjustRightInd w:val="0"/>
        <w:spacing w:line="360" w:lineRule="auto"/>
        <w:ind w:firstLineChars="200" w:firstLine="643"/>
        <w:jc w:val="left"/>
        <w:rPr>
          <w:rFonts w:ascii="仿宋" w:eastAsia="仿宋" w:hAnsi="仿宋"/>
          <w:b/>
          <w:kern w:val="0"/>
          <w:sz w:val="32"/>
          <w:szCs w:val="32"/>
        </w:rPr>
      </w:pPr>
      <w:r w:rsidRPr="00E83937">
        <w:rPr>
          <w:rFonts w:ascii="仿宋" w:eastAsia="仿宋" w:hAnsi="仿宋" w:hint="eastAsia"/>
          <w:b/>
          <w:kern w:val="0"/>
          <w:sz w:val="32"/>
          <w:szCs w:val="32"/>
        </w:rPr>
        <w:t xml:space="preserve">第二十三条 </w:t>
      </w:r>
      <w:r w:rsidRPr="00E83937">
        <w:rPr>
          <w:rFonts w:ascii="仿宋" w:eastAsia="仿宋" w:hAnsi="仿宋" w:hint="eastAsia"/>
          <w:kern w:val="0"/>
          <w:sz w:val="32"/>
          <w:szCs w:val="32"/>
        </w:rPr>
        <w:t>银行销售不动产业务关注事项。适用简易计税方法时，对应扣除项目明细，其扣除原值的发票及相关依据。</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银行其他业务中需扣除项目的金额及扣除凭证和应税销售额确认的完整性。</w:t>
      </w:r>
    </w:p>
    <w:p w:rsidR="00C60FB5" w:rsidRPr="00E83937" w:rsidRDefault="00C60FB5" w:rsidP="00C60FB5">
      <w:pPr>
        <w:pStyle w:val="3"/>
        <w:jc w:val="center"/>
        <w:rPr>
          <w:rFonts w:ascii="仿宋" w:eastAsia="仿宋" w:hAnsi="仿宋" w:cs="宋体"/>
          <w:b w:val="0"/>
          <w:kern w:val="0"/>
        </w:rPr>
      </w:pPr>
      <w:bookmarkStart w:id="16" w:name="_Toc14101098"/>
      <w:r w:rsidRPr="00E83937">
        <w:rPr>
          <w:rFonts w:ascii="仿宋" w:eastAsia="仿宋" w:hAnsi="仿宋" w:cs="宋体" w:hint="eastAsia"/>
          <w:kern w:val="0"/>
        </w:rPr>
        <w:t>第四节</w:t>
      </w:r>
      <w:r w:rsidRPr="00E83937">
        <w:rPr>
          <w:rFonts w:ascii="仿宋" w:eastAsia="仿宋" w:hAnsi="仿宋" w:cs="宋体"/>
          <w:kern w:val="0"/>
        </w:rPr>
        <w:t xml:space="preserve"> </w:t>
      </w:r>
      <w:r w:rsidRPr="00E83937">
        <w:rPr>
          <w:rFonts w:ascii="仿宋" w:eastAsia="仿宋" w:hAnsi="仿宋" w:cs="宋体" w:hint="eastAsia"/>
          <w:kern w:val="0"/>
        </w:rPr>
        <w:t>减免税项目关注事项</w:t>
      </w:r>
      <w:bookmarkEnd w:id="16"/>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第二十四条 </w:t>
      </w:r>
      <w:r w:rsidRPr="00E83937">
        <w:rPr>
          <w:rFonts w:ascii="仿宋" w:eastAsia="仿宋" w:hAnsi="仿宋" w:hint="eastAsia"/>
          <w:kern w:val="0"/>
          <w:sz w:val="32"/>
          <w:szCs w:val="32"/>
        </w:rPr>
        <w:t>银行按照税法规定免征增值税的金融服务业务关注事项，是否符合免税规定的条件，并按规定备案和保存备查资料。享受免税的金额计算是否准确。准确核算免税项目与应税项目的销售额。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银行业涉及的免税服务包括：国家助学贷款、国债、地方政府债、农户小额贷款、金融机构与人民银行发生的资金往来业务、银行联行</w:t>
      </w:r>
      <w:proofErr w:type="gramStart"/>
      <w:r w:rsidRPr="00E83937">
        <w:rPr>
          <w:rFonts w:ascii="仿宋" w:eastAsia="仿宋" w:hAnsi="仿宋" w:hint="eastAsia"/>
          <w:kern w:val="0"/>
          <w:sz w:val="32"/>
          <w:szCs w:val="32"/>
        </w:rPr>
        <w:t>往来业</w:t>
      </w:r>
      <w:proofErr w:type="gramEnd"/>
      <w:r w:rsidRPr="00E83937">
        <w:rPr>
          <w:rFonts w:ascii="仿宋" w:eastAsia="仿宋" w:hAnsi="仿宋" w:hint="eastAsia"/>
          <w:kern w:val="0"/>
          <w:sz w:val="32"/>
          <w:szCs w:val="32"/>
        </w:rPr>
        <w:t>等，还包括为境外单位进行货币资金融通及其他金融业务提供的直接收费金融项目等。</w:t>
      </w:r>
      <w:r w:rsidRPr="00E83937" w:rsidDel="008405ED">
        <w:rPr>
          <w:rFonts w:ascii="仿宋" w:eastAsia="仿宋" w:hAnsi="仿宋"/>
          <w:kern w:val="0"/>
          <w:sz w:val="32"/>
          <w:szCs w:val="32"/>
        </w:rPr>
        <w:t xml:space="preserve"> </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lastRenderedPageBreak/>
        <w:t xml:space="preserve">第二十五条 </w:t>
      </w:r>
      <w:r w:rsidRPr="00E83937">
        <w:rPr>
          <w:rFonts w:ascii="仿宋" w:eastAsia="仿宋" w:hAnsi="仿宋" w:hint="eastAsia"/>
          <w:kern w:val="0"/>
          <w:sz w:val="32"/>
          <w:szCs w:val="32"/>
        </w:rPr>
        <w:t>银行除符合免税条件的金融服务外，是否按照税法规定享受的增值税对应减免税税收优惠政策。关注适用减免税的条件和相应的备案手续与资料。</w:t>
      </w:r>
      <w:r w:rsidRPr="00E83937">
        <w:rPr>
          <w:rFonts w:ascii="仿宋" w:eastAsia="仿宋" w:hAnsi="仿宋"/>
          <w:kern w:val="0"/>
          <w:sz w:val="32"/>
          <w:szCs w:val="32"/>
        </w:rPr>
        <w:t xml:space="preserve"> </w:t>
      </w:r>
    </w:p>
    <w:p w:rsidR="00C60FB5" w:rsidRPr="00E83937" w:rsidRDefault="00C60FB5" w:rsidP="00C60FB5">
      <w:pPr>
        <w:pStyle w:val="3"/>
        <w:jc w:val="center"/>
        <w:rPr>
          <w:rFonts w:ascii="仿宋" w:eastAsia="仿宋" w:hAnsi="仿宋" w:cs="宋体"/>
          <w:b w:val="0"/>
          <w:kern w:val="0"/>
        </w:rPr>
      </w:pPr>
      <w:bookmarkStart w:id="17" w:name="_Toc14101099"/>
      <w:r w:rsidRPr="00E83937">
        <w:rPr>
          <w:rFonts w:ascii="仿宋" w:eastAsia="仿宋" w:hAnsi="仿宋" w:cs="宋体" w:hint="eastAsia"/>
          <w:kern w:val="0"/>
        </w:rPr>
        <w:t>第五节  销项税额关注事项</w:t>
      </w:r>
      <w:bookmarkEnd w:id="17"/>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第二十六条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银行提供应税劳务销售额、销售应税货物销售额、纳税检查调整销售额适用的税率与征收率。</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第二十七条</w:t>
      </w:r>
      <w:r w:rsidRPr="00E83937">
        <w:rPr>
          <w:rFonts w:ascii="仿宋" w:eastAsia="仿宋" w:hAnsi="仿宋" w:hint="eastAsia"/>
          <w:kern w:val="0"/>
          <w:sz w:val="32"/>
          <w:szCs w:val="32"/>
        </w:rPr>
        <w:t xml:space="preserve">  银行是否按照确认的应税销售额和适用税率，在纳税义务发生时间，准确并及时计算销项税额。</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第二十八条</w:t>
      </w:r>
      <w:r w:rsidRPr="00E83937">
        <w:rPr>
          <w:rFonts w:ascii="仿宋" w:eastAsia="仿宋" w:hAnsi="仿宋" w:hint="eastAsia"/>
          <w:kern w:val="0"/>
          <w:sz w:val="32"/>
          <w:szCs w:val="32"/>
        </w:rPr>
        <w:t xml:space="preserve">  银行是否按照确认的简易办法计税的销售额和适用征收率，在纳税义务发生时间，准确并及时计算简易计税办法计算的应纳税额。</w:t>
      </w:r>
    </w:p>
    <w:p w:rsidR="00C60FB5" w:rsidRPr="00E83937" w:rsidRDefault="00C60FB5" w:rsidP="00C60FB5">
      <w:pPr>
        <w:pStyle w:val="3"/>
        <w:jc w:val="center"/>
        <w:rPr>
          <w:rFonts w:ascii="仿宋" w:eastAsia="仿宋" w:hAnsi="仿宋" w:cs="宋体"/>
          <w:b w:val="0"/>
          <w:kern w:val="0"/>
        </w:rPr>
      </w:pPr>
      <w:bookmarkStart w:id="18" w:name="_Toc14101100"/>
      <w:r w:rsidRPr="00E83937">
        <w:rPr>
          <w:rFonts w:ascii="仿宋" w:eastAsia="仿宋" w:hAnsi="仿宋" w:cs="宋体" w:hint="eastAsia"/>
          <w:kern w:val="0"/>
        </w:rPr>
        <w:t>第六节</w:t>
      </w:r>
      <w:r w:rsidRPr="00E83937">
        <w:rPr>
          <w:rFonts w:ascii="仿宋" w:eastAsia="仿宋" w:hAnsi="仿宋" w:cs="宋体"/>
          <w:kern w:val="0"/>
        </w:rPr>
        <w:t xml:space="preserve"> </w:t>
      </w:r>
      <w:r w:rsidRPr="00E83937">
        <w:rPr>
          <w:rFonts w:ascii="仿宋" w:eastAsia="仿宋" w:hAnsi="仿宋" w:cs="宋体" w:hint="eastAsia"/>
          <w:kern w:val="0"/>
        </w:rPr>
        <w:t>增值税发票关注事项</w:t>
      </w:r>
      <w:bookmarkEnd w:id="18"/>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第二十九条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银行开具增值税发票的内部控制流程。发票领购、发票开具、发票保管、发票签章等环节具体的内部控制情况。</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增值税发票领用情况，包括领用的增值税普通发票和增值税专用发票。</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第三十一条</w:t>
      </w:r>
      <w:r w:rsidRPr="00E83937">
        <w:rPr>
          <w:rFonts w:ascii="仿宋" w:eastAsia="仿宋" w:hAnsi="仿宋" w:hint="eastAsia"/>
          <w:kern w:val="0"/>
          <w:sz w:val="32"/>
          <w:szCs w:val="32"/>
        </w:rPr>
        <w:t xml:space="preserve"> 增值税发票使用情况。</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（一）开具增值税专用发票情况。关注当期实际开具的增值税专用发票情况和红字增值税专用发票开具情况。关注</w:t>
      </w:r>
      <w:r w:rsidRPr="00E83937">
        <w:rPr>
          <w:rFonts w:ascii="仿宋" w:eastAsia="仿宋" w:hAnsi="仿宋" w:hint="eastAsia"/>
          <w:kern w:val="0"/>
          <w:sz w:val="32"/>
          <w:szCs w:val="32"/>
        </w:rPr>
        <w:lastRenderedPageBreak/>
        <w:t>不得开具增值税专用发票的情况，其中金融商品转让以及免税项目不得开具增值税专用发票；</w:t>
      </w:r>
    </w:p>
    <w:p w:rsidR="00C60FB5" w:rsidRPr="00E83937" w:rsidRDefault="00C60FB5" w:rsidP="00C60FB5">
      <w:pPr>
        <w:adjustRightInd w:val="0"/>
        <w:spacing w:line="360" w:lineRule="auto"/>
        <w:ind w:firstLineChars="210" w:firstLine="672"/>
        <w:jc w:val="left"/>
        <w:rPr>
          <w:rFonts w:ascii="仿宋" w:eastAsia="仿宋" w:hAnsi="仿宋"/>
          <w:kern w:val="0"/>
          <w:sz w:val="32"/>
          <w:szCs w:val="32"/>
        </w:rPr>
      </w:pPr>
      <w:r w:rsidRPr="00E83937">
        <w:rPr>
          <w:rFonts w:ascii="仿宋" w:eastAsia="仿宋" w:hAnsi="仿宋" w:hint="eastAsia"/>
          <w:kern w:val="0"/>
          <w:sz w:val="32"/>
          <w:szCs w:val="32"/>
        </w:rPr>
        <w:t>（二）开具增值税普通发票情况。关注当期实际开具的增值税普通发票情况，包括纸质普通发票和电子普通发票。关注金融商品转让，金融商品转让须按照卖出价扣除买入价后的余额确认销售额，但按照卖出价开具增值税普通发票。；</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第三十二条</w:t>
      </w:r>
      <w:r w:rsidRPr="00E83937">
        <w:rPr>
          <w:rFonts w:ascii="仿宋" w:eastAsia="仿宋" w:hAnsi="仿宋" w:hint="eastAsia"/>
          <w:kern w:val="0"/>
          <w:sz w:val="32"/>
          <w:szCs w:val="32"/>
        </w:rPr>
        <w:t xml:space="preserve"> 当期全部销售额（不包括纳税检查调整）、销项税额与当期开具增值税专用发票、开具增值税普通发票、未开具发票三项之和之间的勾</w:t>
      </w:r>
      <w:proofErr w:type="gramStart"/>
      <w:r w:rsidRPr="00E83937">
        <w:rPr>
          <w:rFonts w:ascii="仿宋" w:eastAsia="仿宋" w:hAnsi="仿宋" w:hint="eastAsia"/>
          <w:kern w:val="0"/>
          <w:sz w:val="32"/>
          <w:szCs w:val="32"/>
        </w:rPr>
        <w:t>稽</w:t>
      </w:r>
      <w:proofErr w:type="gramEnd"/>
      <w:r w:rsidRPr="00E83937">
        <w:rPr>
          <w:rFonts w:ascii="仿宋" w:eastAsia="仿宋" w:hAnsi="仿宋" w:hint="eastAsia"/>
          <w:kern w:val="0"/>
          <w:sz w:val="32"/>
          <w:szCs w:val="32"/>
        </w:rPr>
        <w:t>关系，是否一致。分析两者之间差异的原因；</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第三十三条</w:t>
      </w:r>
      <w:r w:rsidRPr="00E83937">
        <w:rPr>
          <w:rFonts w:ascii="仿宋" w:eastAsia="仿宋" w:hAnsi="仿宋" w:hint="eastAsia"/>
          <w:kern w:val="0"/>
          <w:sz w:val="32"/>
          <w:szCs w:val="32"/>
        </w:rPr>
        <w:t xml:space="preserve"> 期末发票结余情况。将当期领购与当期使用情况和当期销售额与销项税额进行比对。</w:t>
      </w:r>
    </w:p>
    <w:p w:rsidR="00C60FB5" w:rsidRPr="00E83937" w:rsidRDefault="00C60FB5" w:rsidP="00C60FB5">
      <w:pPr>
        <w:pStyle w:val="3"/>
        <w:jc w:val="center"/>
        <w:rPr>
          <w:rFonts w:ascii="仿宋" w:eastAsia="仿宋" w:hAnsi="仿宋" w:cs="宋体"/>
          <w:b w:val="0"/>
          <w:kern w:val="0"/>
        </w:rPr>
      </w:pPr>
      <w:bookmarkStart w:id="19" w:name="_Toc14101101"/>
      <w:r w:rsidRPr="00E83937">
        <w:rPr>
          <w:rFonts w:ascii="仿宋" w:eastAsia="仿宋" w:hAnsi="仿宋" w:cs="宋体" w:hint="eastAsia"/>
          <w:kern w:val="0"/>
        </w:rPr>
        <w:t>第七节</w:t>
      </w:r>
      <w:r w:rsidRPr="00E83937">
        <w:rPr>
          <w:rFonts w:ascii="仿宋" w:eastAsia="仿宋" w:hAnsi="仿宋" w:cs="宋体"/>
          <w:kern w:val="0"/>
        </w:rPr>
        <w:t xml:space="preserve"> </w:t>
      </w:r>
      <w:r w:rsidRPr="00E83937">
        <w:rPr>
          <w:rFonts w:ascii="仿宋" w:eastAsia="仿宋" w:hAnsi="仿宋" w:cs="宋体" w:hint="eastAsia"/>
          <w:kern w:val="0"/>
        </w:rPr>
        <w:t>申报抵扣进项税额关注事项</w:t>
      </w:r>
      <w:bookmarkEnd w:id="19"/>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第三十四条</w:t>
      </w:r>
      <w:r w:rsidRPr="00E83937">
        <w:rPr>
          <w:rFonts w:ascii="仿宋" w:eastAsia="仿宋" w:hAnsi="仿宋" w:hint="eastAsia"/>
          <w:kern w:val="0"/>
          <w:sz w:val="32"/>
          <w:szCs w:val="32"/>
        </w:rPr>
        <w:t xml:space="preserve"> 增值税专用发票在本期认证相符且本期申报抵扣的进项税额。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w:t>
      </w:r>
      <w:r w:rsidRPr="00E83937">
        <w:rPr>
          <w:rFonts w:ascii="仿宋" w:eastAsia="仿宋" w:hAnsi="仿宋"/>
          <w:kern w:val="0"/>
          <w:sz w:val="32"/>
          <w:szCs w:val="32"/>
        </w:rPr>
        <w:t>银行购进货物、接受应税劳务或应税服务、购进无形资产或不动产，用于一般计税方法的并可以抵扣进项税额的应税项目</w:t>
      </w:r>
      <w:r w:rsidRPr="00E83937">
        <w:rPr>
          <w:rFonts w:ascii="仿宋" w:eastAsia="仿宋" w:hAnsi="仿宋" w:hint="eastAsia"/>
          <w:kern w:val="0"/>
          <w:sz w:val="32"/>
          <w:szCs w:val="32"/>
        </w:rPr>
        <w:t>；</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（二）银行购进货物、接受应税劳务或应税服务、购进无形资产或不动产取得增值税专用发票的发票联、抵扣联的记载内容是否完整、一致，符合专用发票开具要求；</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lastRenderedPageBreak/>
        <w:t>（三）</w:t>
      </w:r>
      <w:r w:rsidRPr="00E83937">
        <w:rPr>
          <w:rFonts w:ascii="仿宋" w:eastAsia="仿宋" w:hAnsi="仿宋"/>
          <w:kern w:val="0"/>
          <w:sz w:val="32"/>
          <w:szCs w:val="32"/>
        </w:rPr>
        <w:t>银行</w:t>
      </w:r>
      <w:r w:rsidRPr="00E83937">
        <w:rPr>
          <w:rFonts w:ascii="仿宋" w:eastAsia="仿宋" w:hAnsi="仿宋" w:hint="eastAsia"/>
          <w:kern w:val="0"/>
          <w:sz w:val="32"/>
          <w:szCs w:val="32"/>
        </w:rPr>
        <w:t>购进货物、接受应税劳务或应税服务、购进无形资产或不动产是否与购买方的生产、经营相关；</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（四）取得的用于购建不动产的增值税专用发票，应进行全额认证或者在通过增值税发票选择确认平台全额选择；</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（五）增值税专用发票是否在规定时限内办理认证或登录增值税发票选择确认平台进行确认。在规定的纳税申报期内，向主管国税机关申报抵扣进项税额；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（六）银行用于收费公路通行费增值税电子普通发票，是否按照规定申报抵扣进项税额。</w:t>
      </w:r>
    </w:p>
    <w:p w:rsidR="00C60FB5" w:rsidRPr="00E83937" w:rsidRDefault="00C60FB5" w:rsidP="00C60FB5">
      <w:pPr>
        <w:adjustRightInd w:val="0"/>
        <w:spacing w:line="360" w:lineRule="auto"/>
        <w:ind w:firstLineChars="200" w:firstLine="643"/>
        <w:jc w:val="left"/>
        <w:rPr>
          <w:rFonts w:ascii="仿宋" w:eastAsia="仿宋" w:hAnsi="仿宋"/>
          <w:b/>
          <w:kern w:val="0"/>
          <w:sz w:val="32"/>
          <w:szCs w:val="32"/>
        </w:rPr>
      </w:pPr>
      <w:r w:rsidRPr="00E83937">
        <w:rPr>
          <w:rFonts w:ascii="仿宋" w:eastAsia="仿宋" w:hAnsi="仿宋" w:hint="eastAsia"/>
          <w:b/>
          <w:kern w:val="0"/>
          <w:sz w:val="32"/>
          <w:szCs w:val="32"/>
        </w:rPr>
        <w:t xml:space="preserve">第三十五条 </w:t>
      </w:r>
      <w:r w:rsidRPr="00E83937">
        <w:rPr>
          <w:rFonts w:ascii="仿宋" w:eastAsia="仿宋" w:hAnsi="仿宋" w:hint="eastAsia"/>
          <w:kern w:val="0"/>
          <w:sz w:val="32"/>
          <w:szCs w:val="32"/>
        </w:rPr>
        <w:t>增值税专用发票在前期认证相符且本期申报抵扣的进项税额。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前期认证相符的全部信息。属于逾期申报的部分，确认取得税务机关的审批。</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属于辅导期纳税人，依据稽核比对结果通知书及明细清单注明的稽核相符增值税专用发票进行申报抵扣。</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第三十六条 </w:t>
      </w:r>
      <w:r w:rsidRPr="00E83937">
        <w:rPr>
          <w:rFonts w:ascii="仿宋" w:eastAsia="仿宋" w:hAnsi="仿宋" w:hint="eastAsia"/>
          <w:kern w:val="0"/>
          <w:sz w:val="32"/>
          <w:szCs w:val="32"/>
        </w:rPr>
        <w:t>其他扣税凭证的进项税额。</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（一）纳税人是否依据税务机关告知的稽核比对结果通知书及其明细单注明的稽核相符的海关进口增值税专用缴款书申报纳税；</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重点关注：增值税专用缴款书票据的真实性、专用缴款书所注明的进口货物入库单、纳税人报送《海关完税凭证抵扣清单》（电子数据）等内容和申请稽核比对情况以及时限</w:t>
      </w:r>
      <w:r w:rsidRPr="00E83937">
        <w:rPr>
          <w:rFonts w:ascii="仿宋" w:eastAsia="仿宋" w:hAnsi="仿宋" w:hint="eastAsia"/>
          <w:kern w:val="0"/>
          <w:sz w:val="32"/>
          <w:szCs w:val="32"/>
        </w:rPr>
        <w:lastRenderedPageBreak/>
        <w:t>要求。</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（二）银行向境外支付的利息费用、手续费及佣金等，涉及代扣代缴增值税的部分，是否按规定解缴税款。符合进项税额抵扣条件的，是否认证并按期申报抵扣；</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（三）</w:t>
      </w:r>
      <w:r w:rsidRPr="00E83937">
        <w:rPr>
          <w:rFonts w:ascii="仿宋" w:eastAsia="仿宋" w:hAnsi="仿宋"/>
          <w:kern w:val="0"/>
          <w:sz w:val="32"/>
          <w:szCs w:val="32"/>
        </w:rPr>
        <w:t>银行</w:t>
      </w:r>
      <w:proofErr w:type="gramStart"/>
      <w:r w:rsidRPr="00E83937">
        <w:rPr>
          <w:rFonts w:ascii="仿宋" w:eastAsia="仿宋" w:hAnsi="仿宋" w:hint="eastAsia"/>
          <w:kern w:val="0"/>
          <w:sz w:val="32"/>
          <w:szCs w:val="32"/>
        </w:rPr>
        <w:t>原按照</w:t>
      </w:r>
      <w:proofErr w:type="gramEnd"/>
      <w:r w:rsidRPr="00E83937">
        <w:rPr>
          <w:rFonts w:ascii="仿宋" w:eastAsia="仿宋" w:hAnsi="仿宋" w:hint="eastAsia"/>
          <w:kern w:val="0"/>
          <w:sz w:val="32"/>
          <w:szCs w:val="32"/>
        </w:rPr>
        <w:t>规定不得抵扣且未抵扣进项税额的固定资产、无形资产、不动产。发生用途改变，用于允许抵扣进项税额的应税项目，可在用途改变的次月将按照规定计算出的可以抵扣的进项税额。关注原取得扣税凭证，是否已经按照规定认证；</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（四）银行购入农业生产者自产农产品取得的农产品收购发票或者销售发票，抵扣进项税额的计算。从小规模纳税人处购进农产品时取得增值税专用发票，抵扣进项税额的计算。</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第三十七条 </w:t>
      </w:r>
      <w:r w:rsidRPr="00E83937">
        <w:rPr>
          <w:rFonts w:ascii="仿宋" w:eastAsia="仿宋" w:hAnsi="仿宋" w:hint="eastAsia"/>
          <w:kern w:val="0"/>
          <w:sz w:val="32"/>
          <w:szCs w:val="32"/>
        </w:rPr>
        <w:t>按规定本期用于购建不动产、新建不动产、改扩建、修缮、装饰不动产等的扣税凭证的进项税额。</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第三十八条 </w:t>
      </w:r>
      <w:r w:rsidRPr="00E83937">
        <w:rPr>
          <w:rFonts w:ascii="仿宋" w:eastAsia="仿宋" w:hAnsi="仿宋" w:hint="eastAsia"/>
          <w:kern w:val="0"/>
          <w:sz w:val="32"/>
          <w:szCs w:val="32"/>
        </w:rPr>
        <w:t>按规定本期允许抵扣的购进旅客运输服务取得的扣税凭证的进项税额。</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第三十九条 </w:t>
      </w:r>
      <w:r w:rsidRPr="00E83937">
        <w:rPr>
          <w:rFonts w:ascii="仿宋" w:eastAsia="仿宋" w:hAnsi="仿宋" w:hint="eastAsia"/>
          <w:kern w:val="0"/>
          <w:sz w:val="32"/>
          <w:szCs w:val="32"/>
        </w:rPr>
        <w:t>进项税额抵扣的扣税凭证管理。银行对取得的扣税凭证，应有严格的内控制度，对扣税凭证的取得时限、填开要求、流转中责任、认证期限、抵扣权限、抵扣后期管理等进行制度规定。</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第四十条</w:t>
      </w:r>
      <w:r w:rsidRPr="00E83937">
        <w:rPr>
          <w:rFonts w:ascii="仿宋" w:eastAsia="仿宋" w:hAnsi="仿宋" w:hint="eastAsia"/>
          <w:kern w:val="0"/>
          <w:sz w:val="32"/>
          <w:szCs w:val="32"/>
        </w:rPr>
        <w:t xml:space="preserve">  银行纳税人已经取得，但按税法规定不符合</w:t>
      </w:r>
      <w:r w:rsidRPr="00E83937">
        <w:rPr>
          <w:rFonts w:ascii="仿宋" w:eastAsia="仿宋" w:hAnsi="仿宋" w:hint="eastAsia"/>
          <w:kern w:val="0"/>
          <w:sz w:val="32"/>
          <w:szCs w:val="32"/>
        </w:rPr>
        <w:lastRenderedPageBreak/>
        <w:t>抵扣条件，暂不予在本期申报抵扣的进项税额情况及按税法规定不允许抵扣的进项税额情况，是否按规定确认为待抵扣进项税额。</w:t>
      </w:r>
    </w:p>
    <w:p w:rsidR="00C60FB5" w:rsidRPr="00E83937" w:rsidRDefault="00C60FB5" w:rsidP="00C60FB5">
      <w:pPr>
        <w:pStyle w:val="3"/>
        <w:jc w:val="center"/>
        <w:rPr>
          <w:rFonts w:ascii="仿宋" w:eastAsia="仿宋" w:hAnsi="仿宋" w:cs="宋体"/>
          <w:b w:val="0"/>
          <w:kern w:val="0"/>
        </w:rPr>
      </w:pPr>
      <w:bookmarkStart w:id="20" w:name="_Toc14101102"/>
      <w:r w:rsidRPr="00E83937">
        <w:rPr>
          <w:rFonts w:ascii="仿宋" w:eastAsia="仿宋" w:hAnsi="仿宋" w:cs="宋体" w:hint="eastAsia"/>
          <w:kern w:val="0"/>
        </w:rPr>
        <w:t>第八节</w:t>
      </w:r>
      <w:r w:rsidRPr="00E83937">
        <w:rPr>
          <w:rFonts w:ascii="仿宋" w:eastAsia="仿宋" w:hAnsi="仿宋" w:cs="宋体"/>
          <w:kern w:val="0"/>
        </w:rPr>
        <w:t xml:space="preserve"> </w:t>
      </w:r>
      <w:r w:rsidRPr="00E83937">
        <w:rPr>
          <w:rFonts w:ascii="仿宋" w:eastAsia="仿宋" w:hAnsi="仿宋" w:cs="宋体" w:hint="eastAsia"/>
          <w:kern w:val="0"/>
        </w:rPr>
        <w:t>本期进项税额转出</w:t>
      </w:r>
      <w:proofErr w:type="gramStart"/>
      <w:r w:rsidRPr="00E83937">
        <w:rPr>
          <w:rFonts w:ascii="仿宋" w:eastAsia="仿宋" w:hAnsi="仿宋" w:cs="宋体" w:hint="eastAsia"/>
          <w:kern w:val="0"/>
        </w:rPr>
        <w:t>额关注</w:t>
      </w:r>
      <w:proofErr w:type="gramEnd"/>
      <w:r w:rsidRPr="00E83937">
        <w:rPr>
          <w:rFonts w:ascii="仿宋" w:eastAsia="仿宋" w:hAnsi="仿宋" w:cs="宋体" w:hint="eastAsia"/>
          <w:kern w:val="0"/>
        </w:rPr>
        <w:t>事项</w:t>
      </w:r>
      <w:bookmarkEnd w:id="20"/>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第四十一条 </w:t>
      </w:r>
      <w:r w:rsidRPr="00E83937">
        <w:rPr>
          <w:rFonts w:ascii="仿宋" w:eastAsia="仿宋" w:hAnsi="仿宋" w:hint="eastAsia"/>
          <w:kern w:val="0"/>
          <w:sz w:val="32"/>
          <w:szCs w:val="32"/>
        </w:rPr>
        <w:t>已抵扣进项税额的货物、劳务、服务，用于免征增值税项目、集体福利或者个人消费、简易计税方法计税项目或发生非正常损失，是否按规定进行进项税额转出。重点关注用于免征增值税项目、集体福利或个人消费、简易计税方法计税项目的范围以及非</w:t>
      </w:r>
      <w:proofErr w:type="gramStart"/>
      <w:r w:rsidRPr="00E83937">
        <w:rPr>
          <w:rFonts w:ascii="仿宋" w:eastAsia="仿宋" w:hAnsi="仿宋" w:hint="eastAsia"/>
          <w:kern w:val="0"/>
          <w:sz w:val="32"/>
          <w:szCs w:val="32"/>
        </w:rPr>
        <w:t>正常损失</w:t>
      </w:r>
      <w:proofErr w:type="gramEnd"/>
      <w:r w:rsidRPr="00E83937">
        <w:rPr>
          <w:rFonts w:ascii="仿宋" w:eastAsia="仿宋" w:hAnsi="仿宋" w:hint="eastAsia"/>
          <w:kern w:val="0"/>
          <w:sz w:val="32"/>
          <w:szCs w:val="32"/>
        </w:rPr>
        <w:t>的责任。</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第四十二条 </w:t>
      </w:r>
      <w:r w:rsidRPr="00E83937">
        <w:rPr>
          <w:rFonts w:ascii="仿宋" w:eastAsia="仿宋" w:hAnsi="仿宋" w:hint="eastAsia"/>
          <w:kern w:val="0"/>
          <w:sz w:val="32"/>
          <w:szCs w:val="32"/>
        </w:rPr>
        <w:t>已抵扣进项税额的固定资产、不动产、无形资产，由于改变用途，专用于免征增值税项目、集体福利或个人消费、简易计税方法计税项目是否按照资产净值和适用税率计算进项税额转出以及资产净值计算的准确性。</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第四十三条 </w:t>
      </w:r>
      <w:r w:rsidRPr="00E83937">
        <w:rPr>
          <w:rFonts w:ascii="仿宋" w:eastAsia="仿宋" w:hAnsi="仿宋" w:hint="eastAsia"/>
          <w:kern w:val="0"/>
          <w:sz w:val="32"/>
          <w:szCs w:val="32"/>
        </w:rPr>
        <w:t>本期申报抵扣的即用于应税项目又用于免税项目或简易计税项目的进项税额，对当期无法划分的进项税额是否按照当期无法划分的全部进项税额和免征增值税销售额或简易计税项目销售额占全部销售额的比例计算进项税额转出</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第四十四条</w:t>
      </w:r>
      <w:r w:rsidRPr="00E83937">
        <w:rPr>
          <w:rFonts w:ascii="仿宋" w:eastAsia="仿宋" w:hAnsi="仿宋" w:hint="eastAsia"/>
          <w:kern w:val="0"/>
          <w:sz w:val="32"/>
          <w:szCs w:val="32"/>
        </w:rPr>
        <w:t xml:space="preserve"> 本期税务、财政、审计部门纳税检查后在本期应调减的进项税额，包括检查过程中发现应调减的本期进项税额和以前期间的进项税额。</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lastRenderedPageBreak/>
        <w:t xml:space="preserve">第四十五条 </w:t>
      </w:r>
      <w:r w:rsidRPr="00E83937">
        <w:rPr>
          <w:rFonts w:ascii="仿宋" w:eastAsia="仿宋" w:hAnsi="仿宋" w:hint="eastAsia"/>
          <w:kern w:val="0"/>
          <w:sz w:val="32"/>
          <w:szCs w:val="32"/>
        </w:rPr>
        <w:t>红字专用发票信息表注明的进项税额。重点关注税务机关开具的《开具红字增值税专用发票信息表》注明的在本期应转出的进项税额。</w:t>
      </w:r>
      <w:r w:rsidRPr="00E83937" w:rsidDel="003A41DD">
        <w:rPr>
          <w:rFonts w:ascii="仿宋" w:eastAsia="仿宋" w:hAnsi="仿宋" w:hint="eastAsia"/>
          <w:kern w:val="0"/>
          <w:sz w:val="32"/>
          <w:szCs w:val="32"/>
        </w:rPr>
        <w:t xml:space="preserve"> </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第四十六条</w:t>
      </w:r>
      <w:r w:rsidRPr="00E83937">
        <w:rPr>
          <w:rFonts w:ascii="仿宋" w:eastAsia="仿宋" w:hAnsi="仿宋"/>
          <w:kern w:val="0"/>
          <w:sz w:val="32"/>
          <w:szCs w:val="32"/>
        </w:rPr>
        <w:t xml:space="preserve"> </w:t>
      </w:r>
      <w:r w:rsidRPr="00E83937">
        <w:rPr>
          <w:rFonts w:ascii="仿宋" w:eastAsia="仿宋" w:hAnsi="仿宋" w:hint="eastAsia"/>
          <w:kern w:val="0"/>
          <w:sz w:val="32"/>
          <w:szCs w:val="32"/>
        </w:rPr>
        <w:t>本期经税务机关同意，按照规定使用上期留抵税额抵减欠税的情况。</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 xml:space="preserve">第四十七条 </w:t>
      </w:r>
      <w:r w:rsidRPr="00E83937">
        <w:rPr>
          <w:rFonts w:ascii="仿宋" w:eastAsia="仿宋" w:hAnsi="仿宋" w:hint="eastAsia"/>
          <w:kern w:val="0"/>
          <w:sz w:val="32"/>
          <w:szCs w:val="32"/>
        </w:rPr>
        <w:t>增量留抵税额退税额的条件。符合留抵税额退税的，是否正确计算留抵退税金额，并按规定办理退税申请。一旦税务机关批准留抵税额可以退税的，不管是否已收到退还的增值税，均按照进项税额转出处理。</w:t>
      </w:r>
    </w:p>
    <w:p w:rsidR="00C60FB5" w:rsidRPr="00E83937" w:rsidRDefault="00C60FB5" w:rsidP="00C60FB5">
      <w:pPr>
        <w:pStyle w:val="3"/>
        <w:jc w:val="center"/>
        <w:rPr>
          <w:rFonts w:ascii="仿宋" w:eastAsia="仿宋" w:hAnsi="仿宋" w:cs="宋体"/>
          <w:b w:val="0"/>
          <w:kern w:val="0"/>
        </w:rPr>
      </w:pPr>
      <w:bookmarkStart w:id="21" w:name="_Toc14101103"/>
      <w:r w:rsidRPr="00E83937">
        <w:rPr>
          <w:rFonts w:ascii="仿宋" w:eastAsia="仿宋" w:hAnsi="仿宋" w:cs="宋体" w:hint="eastAsia"/>
          <w:kern w:val="0"/>
        </w:rPr>
        <w:t>第九节  税额抵减关注事项</w:t>
      </w:r>
      <w:bookmarkEnd w:id="21"/>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第四十八条</w:t>
      </w:r>
      <w:r w:rsidRPr="00E83937">
        <w:rPr>
          <w:rFonts w:ascii="仿宋" w:eastAsia="仿宋" w:hAnsi="仿宋" w:hint="eastAsia"/>
          <w:kern w:val="0"/>
          <w:sz w:val="32"/>
          <w:szCs w:val="32"/>
        </w:rPr>
        <w:t xml:space="preserve"> 纳税人增值税税控专用设备和税控技术维护费增值税税额抵减情况。</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第四十九条</w:t>
      </w:r>
      <w:r w:rsidRPr="00E83937">
        <w:rPr>
          <w:rFonts w:ascii="仿宋" w:eastAsia="仿宋" w:hAnsi="仿宋" w:hint="eastAsia"/>
          <w:kern w:val="0"/>
          <w:sz w:val="32"/>
          <w:szCs w:val="32"/>
        </w:rPr>
        <w:t xml:space="preserve"> 银行分支机构预缴税额抵减情况。</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（一）</w:t>
      </w:r>
      <w:r w:rsidRPr="00E83937">
        <w:rPr>
          <w:rFonts w:ascii="仿宋" w:eastAsia="仿宋" w:hAnsi="仿宋"/>
          <w:kern w:val="0"/>
          <w:sz w:val="32"/>
          <w:szCs w:val="32"/>
        </w:rPr>
        <w:t>实行总机构汇总纳税，分支机构就地预缴，获取银行</w:t>
      </w:r>
      <w:r w:rsidRPr="00E83937">
        <w:rPr>
          <w:rFonts w:ascii="仿宋" w:eastAsia="仿宋" w:hAnsi="仿宋" w:hint="eastAsia"/>
          <w:kern w:val="0"/>
          <w:sz w:val="32"/>
          <w:szCs w:val="32"/>
        </w:rPr>
        <w:t>分支机构和总机构的单位信息，税务登记信息等。重点获得税务机关的批复；</w:t>
      </w:r>
    </w:p>
    <w:p w:rsidR="00C60FB5" w:rsidRPr="00E83937" w:rsidRDefault="00C60FB5" w:rsidP="00C60FB5">
      <w:pPr>
        <w:adjustRightInd w:val="0"/>
        <w:spacing w:line="360" w:lineRule="auto"/>
        <w:ind w:firstLineChars="200" w:firstLine="640"/>
        <w:jc w:val="left"/>
        <w:rPr>
          <w:rFonts w:ascii="仿宋" w:eastAsia="仿宋" w:hAnsi="仿宋"/>
          <w:kern w:val="0"/>
          <w:sz w:val="32"/>
          <w:szCs w:val="32"/>
        </w:rPr>
      </w:pPr>
      <w:r w:rsidRPr="00E83937">
        <w:rPr>
          <w:rFonts w:ascii="仿宋" w:eastAsia="仿宋" w:hAnsi="仿宋" w:hint="eastAsia"/>
          <w:kern w:val="0"/>
          <w:sz w:val="32"/>
          <w:szCs w:val="32"/>
        </w:rPr>
        <w:t>（二）</w:t>
      </w:r>
      <w:r w:rsidRPr="00E83937">
        <w:rPr>
          <w:rFonts w:ascii="仿宋" w:eastAsia="仿宋" w:hAnsi="仿宋"/>
          <w:kern w:val="0"/>
          <w:sz w:val="32"/>
          <w:szCs w:val="32"/>
        </w:rPr>
        <w:t>分支机构预缴增值税的计税销售额的准确性和</w:t>
      </w:r>
      <w:proofErr w:type="gramStart"/>
      <w:r w:rsidRPr="00E83937">
        <w:rPr>
          <w:rFonts w:ascii="仿宋" w:eastAsia="仿宋" w:hAnsi="仿宋" w:hint="eastAsia"/>
          <w:kern w:val="0"/>
          <w:sz w:val="32"/>
          <w:szCs w:val="32"/>
        </w:rPr>
        <w:t>预征率</w:t>
      </w:r>
      <w:proofErr w:type="gramEnd"/>
      <w:r w:rsidRPr="00E83937">
        <w:rPr>
          <w:rFonts w:ascii="仿宋" w:eastAsia="仿宋" w:hAnsi="仿宋" w:hint="eastAsia"/>
          <w:kern w:val="0"/>
          <w:sz w:val="32"/>
          <w:szCs w:val="32"/>
        </w:rPr>
        <w:t>适用性。获得预缴增值税的完税证明，在总机构汇总纳税时进行税额抵减。</w:t>
      </w:r>
    </w:p>
    <w:p w:rsidR="00C60FB5" w:rsidRPr="00E83937" w:rsidRDefault="00C60FB5" w:rsidP="00C60FB5">
      <w:pPr>
        <w:adjustRightInd w:val="0"/>
        <w:spacing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第五十条</w:t>
      </w:r>
      <w:r w:rsidRPr="00E83937">
        <w:rPr>
          <w:rFonts w:ascii="仿宋" w:eastAsia="仿宋" w:hAnsi="仿宋" w:hint="eastAsia"/>
          <w:kern w:val="0"/>
          <w:sz w:val="32"/>
          <w:szCs w:val="32"/>
        </w:rPr>
        <w:t xml:space="preserve"> 银行纳税人销售不动产和出租不动产的已预缴的税款准确性和应税凭证的完整性。</w:t>
      </w:r>
    </w:p>
    <w:p w:rsidR="00C60FB5" w:rsidRPr="00E83937" w:rsidRDefault="00C60FB5" w:rsidP="00C60FB5">
      <w:pPr>
        <w:pStyle w:val="3"/>
        <w:jc w:val="center"/>
        <w:rPr>
          <w:rFonts w:ascii="仿宋" w:eastAsia="仿宋" w:hAnsi="仿宋" w:cs="宋体"/>
          <w:b w:val="0"/>
          <w:kern w:val="0"/>
        </w:rPr>
      </w:pPr>
      <w:bookmarkStart w:id="22" w:name="_Toc14101104"/>
      <w:r w:rsidRPr="00E83937">
        <w:rPr>
          <w:rFonts w:ascii="仿宋" w:eastAsia="仿宋" w:hAnsi="仿宋" w:cs="宋体" w:hint="eastAsia"/>
          <w:kern w:val="0"/>
        </w:rPr>
        <w:lastRenderedPageBreak/>
        <w:t>第十节</w:t>
      </w:r>
      <w:r w:rsidRPr="00E83937">
        <w:rPr>
          <w:rFonts w:ascii="仿宋" w:eastAsia="仿宋" w:hAnsi="仿宋" w:cs="宋体"/>
          <w:kern w:val="0"/>
        </w:rPr>
        <w:t xml:space="preserve">  </w:t>
      </w:r>
      <w:r w:rsidRPr="00E83937">
        <w:rPr>
          <w:rFonts w:ascii="仿宋" w:eastAsia="仿宋" w:hAnsi="仿宋" w:cs="宋体" w:hint="eastAsia"/>
          <w:kern w:val="0"/>
        </w:rPr>
        <w:t>税款缴纳关注事项</w:t>
      </w:r>
      <w:bookmarkEnd w:id="22"/>
    </w:p>
    <w:p w:rsidR="00C60FB5" w:rsidRPr="00E83937" w:rsidRDefault="00C60FB5" w:rsidP="00C60FB5">
      <w:pPr>
        <w:adjustRightInd w:val="0"/>
        <w:spacing w:line="360" w:lineRule="auto"/>
        <w:ind w:firstLineChars="249" w:firstLine="800"/>
        <w:jc w:val="left"/>
        <w:rPr>
          <w:rFonts w:ascii="仿宋" w:eastAsia="仿宋" w:hAnsi="仿宋"/>
          <w:kern w:val="0"/>
          <w:sz w:val="32"/>
          <w:szCs w:val="32"/>
        </w:rPr>
      </w:pPr>
      <w:r w:rsidRPr="00E83937">
        <w:rPr>
          <w:rFonts w:ascii="仿宋" w:eastAsia="仿宋" w:hAnsi="仿宋" w:hint="eastAsia"/>
          <w:b/>
          <w:kern w:val="0"/>
          <w:sz w:val="32"/>
          <w:szCs w:val="32"/>
        </w:rPr>
        <w:t xml:space="preserve">第五十一条 </w:t>
      </w:r>
      <w:r w:rsidRPr="00E83937">
        <w:rPr>
          <w:rFonts w:ascii="仿宋" w:eastAsia="仿宋" w:hAnsi="仿宋" w:hint="eastAsia"/>
          <w:kern w:val="0"/>
          <w:sz w:val="32"/>
          <w:szCs w:val="32"/>
        </w:rPr>
        <w:t>本期应补（退）税额项目，包括期初未缴税额、本期已缴税额、期末未缴税额。各项目对应的完税凭证</w:t>
      </w:r>
    </w:p>
    <w:p w:rsidR="00C60FB5" w:rsidRPr="00E83937" w:rsidRDefault="00C60FB5" w:rsidP="00C60FB5">
      <w:pPr>
        <w:adjustRightInd w:val="0"/>
        <w:spacing w:line="360" w:lineRule="auto"/>
        <w:ind w:firstLineChars="249" w:firstLine="800"/>
        <w:jc w:val="left"/>
        <w:rPr>
          <w:rFonts w:ascii="仿宋" w:eastAsia="仿宋" w:hAnsi="仿宋"/>
          <w:kern w:val="0"/>
          <w:sz w:val="32"/>
          <w:szCs w:val="32"/>
        </w:rPr>
      </w:pPr>
      <w:r w:rsidRPr="00E83937">
        <w:rPr>
          <w:rFonts w:ascii="仿宋" w:eastAsia="仿宋" w:hAnsi="仿宋" w:hint="eastAsia"/>
          <w:b/>
          <w:kern w:val="0"/>
          <w:sz w:val="32"/>
          <w:szCs w:val="32"/>
        </w:rPr>
        <w:t xml:space="preserve">第五十二条 </w:t>
      </w:r>
      <w:r w:rsidRPr="00E83937">
        <w:rPr>
          <w:rFonts w:ascii="仿宋" w:eastAsia="仿宋" w:hAnsi="仿宋" w:hint="eastAsia"/>
          <w:kern w:val="0"/>
          <w:sz w:val="32"/>
          <w:szCs w:val="32"/>
        </w:rPr>
        <w:t>银行本期因符合增值税即征即退政策规定，而实际收到的税务机关退回的增值税额。</w:t>
      </w:r>
    </w:p>
    <w:p w:rsidR="00C60FB5" w:rsidRPr="00E83937" w:rsidRDefault="00C60FB5" w:rsidP="00C60FB5">
      <w:pPr>
        <w:adjustRightInd w:val="0"/>
        <w:spacing w:line="360" w:lineRule="auto"/>
        <w:ind w:firstLineChars="250" w:firstLine="803"/>
        <w:jc w:val="left"/>
        <w:rPr>
          <w:rFonts w:ascii="仿宋" w:eastAsia="仿宋" w:hAnsi="仿宋"/>
          <w:kern w:val="0"/>
          <w:sz w:val="32"/>
          <w:szCs w:val="32"/>
        </w:rPr>
      </w:pPr>
      <w:r w:rsidRPr="00E83937">
        <w:rPr>
          <w:rFonts w:ascii="仿宋" w:eastAsia="仿宋" w:hAnsi="仿宋" w:hint="eastAsia"/>
          <w:b/>
          <w:kern w:val="0"/>
          <w:sz w:val="32"/>
          <w:szCs w:val="32"/>
        </w:rPr>
        <w:t>第五十三条</w:t>
      </w:r>
      <w:r w:rsidRPr="00E83937">
        <w:rPr>
          <w:rFonts w:ascii="仿宋" w:eastAsia="仿宋" w:hAnsi="仿宋" w:hint="eastAsia"/>
          <w:kern w:val="0"/>
          <w:sz w:val="32"/>
          <w:szCs w:val="32"/>
        </w:rPr>
        <w:t xml:space="preserve"> 期初未缴查补税额、本期入库查补税额、期末未缴查补税额。正确计算当期应（补）退税额。</w:t>
      </w:r>
    </w:p>
    <w:p w:rsidR="00C60FB5" w:rsidRPr="00E83937" w:rsidRDefault="00C60FB5" w:rsidP="00C60FB5">
      <w:pPr>
        <w:pStyle w:val="2"/>
        <w:jc w:val="center"/>
        <w:rPr>
          <w:rFonts w:ascii="仿宋" w:eastAsia="仿宋" w:hAnsi="仿宋" w:cs="Times New Roman"/>
          <w:b w:val="0"/>
          <w:kern w:val="0"/>
        </w:rPr>
      </w:pPr>
      <w:bookmarkStart w:id="23" w:name="_Toc14101105"/>
      <w:bookmarkStart w:id="24" w:name="_Toc14101428"/>
      <w:bookmarkStart w:id="25" w:name="_Toc14162744"/>
      <w:r w:rsidRPr="00E83937">
        <w:rPr>
          <w:rFonts w:ascii="仿宋" w:eastAsia="仿宋" w:hAnsi="仿宋" w:cs="Times New Roman" w:hint="eastAsia"/>
          <w:kern w:val="0"/>
        </w:rPr>
        <w:t>第三章  业务记录</w:t>
      </w:r>
      <w:bookmarkEnd w:id="23"/>
      <w:bookmarkEnd w:id="24"/>
      <w:bookmarkEnd w:id="25"/>
    </w:p>
    <w:p w:rsidR="00C60FB5" w:rsidRPr="00E83937" w:rsidRDefault="00C60FB5" w:rsidP="00C60FB5">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第五十四条</w:t>
      </w:r>
      <w:r w:rsidRPr="00E83937">
        <w:rPr>
          <w:rFonts w:ascii="仿宋" w:eastAsia="仿宋" w:hAnsi="仿宋" w:hint="eastAsia"/>
          <w:kern w:val="0"/>
          <w:sz w:val="32"/>
          <w:szCs w:val="32"/>
        </w:rPr>
        <w:t xml:space="preserve"> 税务师事务所应当按照《涉税专业服务程序指引（试行）》、《纳税申报代理业务指引（试行）》和《增值税纳税申报代理业务指引（试行）》制定业务工作底稿管理制度，可以根据自身情况，制定银行业增值税纳税申报代理业务工作底稿。</w:t>
      </w:r>
    </w:p>
    <w:p w:rsidR="00C60FB5" w:rsidRPr="00E83937" w:rsidRDefault="00C60FB5" w:rsidP="00C60FB5">
      <w:pPr>
        <w:spacing w:line="360" w:lineRule="auto"/>
        <w:ind w:left="482"/>
        <w:rPr>
          <w:rFonts w:ascii="仿宋" w:eastAsia="仿宋" w:hAnsi="仿宋"/>
          <w:kern w:val="0"/>
          <w:sz w:val="32"/>
          <w:szCs w:val="32"/>
        </w:rPr>
      </w:pPr>
      <w:r w:rsidRPr="00E83937">
        <w:rPr>
          <w:rFonts w:ascii="仿宋" w:eastAsia="仿宋" w:hAnsi="仿宋" w:hint="eastAsia"/>
          <w:b/>
          <w:kern w:val="0"/>
          <w:sz w:val="32"/>
          <w:szCs w:val="32"/>
        </w:rPr>
        <w:t>第五十五条</w:t>
      </w:r>
      <w:r w:rsidRPr="00E83937">
        <w:rPr>
          <w:rFonts w:ascii="仿宋" w:eastAsia="仿宋" w:hAnsi="仿宋" w:hint="eastAsia"/>
          <w:kern w:val="0"/>
          <w:sz w:val="32"/>
          <w:szCs w:val="32"/>
        </w:rPr>
        <w:t xml:space="preserve"> 银行业增值税纳税申报服务业务记录底稿包括:企业基本资料、基础数据、工作底稿。</w:t>
      </w:r>
    </w:p>
    <w:p w:rsidR="00C60FB5" w:rsidRPr="00E83937" w:rsidRDefault="00C60FB5" w:rsidP="00C60FB5">
      <w:pPr>
        <w:spacing w:line="360" w:lineRule="auto"/>
        <w:ind w:firstLineChars="150" w:firstLine="482"/>
        <w:rPr>
          <w:rFonts w:ascii="仿宋" w:eastAsia="仿宋" w:hAnsi="仿宋"/>
          <w:kern w:val="0"/>
          <w:sz w:val="32"/>
          <w:szCs w:val="32"/>
        </w:rPr>
      </w:pPr>
      <w:r w:rsidRPr="00E83937">
        <w:rPr>
          <w:rFonts w:ascii="仿宋" w:eastAsia="仿宋" w:hAnsi="仿宋" w:hint="eastAsia"/>
          <w:b/>
          <w:kern w:val="0"/>
          <w:sz w:val="32"/>
          <w:szCs w:val="32"/>
        </w:rPr>
        <w:t>第五十六条</w:t>
      </w:r>
      <w:r w:rsidRPr="00E83937">
        <w:rPr>
          <w:rFonts w:ascii="仿宋" w:eastAsia="仿宋" w:hAnsi="仿宋" w:hint="eastAsia"/>
          <w:kern w:val="0"/>
          <w:sz w:val="32"/>
          <w:szCs w:val="32"/>
        </w:rPr>
        <w:t xml:space="preserve"> 企业基本资料工作底稿包括：企业基本环境、会计处理环境、税务处理环境。</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（一）企业基本环境工作底稿包括：注册登记情况、银行开户情况等； </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（二）会计处理环境工作底稿包括：所执行的会计制度、</w:t>
      </w:r>
      <w:r w:rsidRPr="00E83937">
        <w:rPr>
          <w:rFonts w:ascii="仿宋" w:eastAsia="仿宋" w:hAnsi="仿宋" w:hint="eastAsia"/>
          <w:kern w:val="0"/>
          <w:sz w:val="32"/>
          <w:szCs w:val="32"/>
        </w:rPr>
        <w:lastRenderedPageBreak/>
        <w:t xml:space="preserve">确定的具体会计规定、各类财务报告、企业会计政策变动情况及说明等； </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（三）税务处理环境工作底稿包括：纳税义务确认、计税方法选择、申报方式选择、办税程序设计与实施等。</w:t>
      </w:r>
    </w:p>
    <w:p w:rsidR="00C60FB5" w:rsidRPr="00E83937" w:rsidRDefault="00C60FB5" w:rsidP="00C60FB5">
      <w:pPr>
        <w:spacing w:line="360" w:lineRule="auto"/>
        <w:ind w:firstLineChars="150" w:firstLine="482"/>
        <w:rPr>
          <w:rFonts w:ascii="仿宋" w:eastAsia="仿宋" w:hAnsi="仿宋"/>
          <w:kern w:val="0"/>
          <w:sz w:val="32"/>
          <w:szCs w:val="32"/>
        </w:rPr>
      </w:pPr>
      <w:r w:rsidRPr="00E83937">
        <w:rPr>
          <w:rFonts w:ascii="仿宋" w:eastAsia="仿宋" w:hAnsi="仿宋" w:hint="eastAsia"/>
          <w:b/>
          <w:kern w:val="0"/>
          <w:sz w:val="32"/>
          <w:szCs w:val="32"/>
        </w:rPr>
        <w:t>第五十七条</w:t>
      </w:r>
      <w:r w:rsidRPr="00E83937">
        <w:rPr>
          <w:rFonts w:ascii="仿宋" w:eastAsia="仿宋" w:hAnsi="仿宋" w:hint="eastAsia"/>
          <w:kern w:val="0"/>
          <w:sz w:val="32"/>
          <w:szCs w:val="32"/>
        </w:rPr>
        <w:t xml:space="preserve"> 基础数据内容包括书面说明及纳税人提供的财务税务资料：</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（一）书面声明。涉税专业服务机构及其涉税专业服务人员应当从管理层获取保证相关资料的真实、准确、合法和完整的书面声明。</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（二）纳税人以往纳税申报数据，企业提供账务资料（包括科目余额表、科目明细账、进项税额明细表、视同销售明细表、不动产抵扣台账等）。</w:t>
      </w:r>
    </w:p>
    <w:p w:rsidR="00C60FB5" w:rsidRPr="00E83937" w:rsidRDefault="00C60FB5" w:rsidP="00C60FB5">
      <w:pPr>
        <w:spacing w:line="360" w:lineRule="auto"/>
        <w:ind w:firstLineChars="176" w:firstLine="565"/>
        <w:rPr>
          <w:rFonts w:ascii="仿宋" w:eastAsia="仿宋" w:hAnsi="仿宋"/>
          <w:kern w:val="0"/>
          <w:sz w:val="32"/>
          <w:szCs w:val="32"/>
        </w:rPr>
      </w:pPr>
      <w:r w:rsidRPr="00E83937">
        <w:rPr>
          <w:rFonts w:ascii="仿宋" w:eastAsia="仿宋" w:hAnsi="仿宋" w:hint="eastAsia"/>
          <w:b/>
          <w:kern w:val="0"/>
          <w:sz w:val="32"/>
          <w:szCs w:val="32"/>
        </w:rPr>
        <w:t>第五十八条</w:t>
      </w:r>
      <w:r w:rsidRPr="00E83937">
        <w:rPr>
          <w:rFonts w:ascii="仿宋" w:eastAsia="仿宋" w:hAnsi="仿宋" w:hint="eastAsia"/>
          <w:kern w:val="0"/>
          <w:sz w:val="32"/>
          <w:szCs w:val="32"/>
        </w:rPr>
        <w:t xml:space="preserve"> 基础数据工作底稿包括:销项税额数据、进项税额数据（小规模纳税人不适用）、税收优惠数据、纳税调整数据等。</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（一）销项税额工作底稿。需根据不同的计税方法及税率，划分不同的应税项目，形成销项税额工作底稿；根据税控设备导出的开票数据，形成当期开票明细工作底稿。</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（二）进项税额工作底稿。数据需与增值税数据确认平台数据一致，并需关注进项税额转出事项、不动产（含在建工程）进项抵扣、加计抵扣等特殊进项税额数据在当期的确认及转入转出。</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（三）税收优惠工作底稿。主要记录税收优惠事项以供备查。</w:t>
      </w:r>
    </w:p>
    <w:p w:rsidR="00C60FB5" w:rsidRPr="00E83937" w:rsidRDefault="00C60FB5" w:rsidP="00C60FB5">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（四）有关税种纳税调整业务工作底稿的主要有：会计数据、税收数据、纳税调整增加数据、纳税调整减少数据。</w:t>
      </w:r>
    </w:p>
    <w:p w:rsidR="00C60FB5" w:rsidRPr="00E83937" w:rsidRDefault="00C60FB5" w:rsidP="00C60FB5">
      <w:pPr>
        <w:pStyle w:val="2"/>
        <w:jc w:val="center"/>
        <w:rPr>
          <w:rFonts w:ascii="仿宋" w:eastAsia="仿宋" w:hAnsi="仿宋" w:cs="宋体"/>
          <w:b w:val="0"/>
          <w:kern w:val="0"/>
        </w:rPr>
      </w:pPr>
      <w:bookmarkStart w:id="26" w:name="_Toc14101106"/>
      <w:bookmarkStart w:id="27" w:name="_Toc14101429"/>
      <w:bookmarkStart w:id="28" w:name="_Toc14162745"/>
      <w:r w:rsidRPr="00E83937">
        <w:rPr>
          <w:rFonts w:ascii="仿宋" w:eastAsia="仿宋" w:hAnsi="仿宋" w:cs="宋体" w:hint="eastAsia"/>
          <w:kern w:val="0"/>
        </w:rPr>
        <w:t>第四章  业务成果及归档</w:t>
      </w:r>
      <w:bookmarkEnd w:id="26"/>
      <w:bookmarkEnd w:id="27"/>
      <w:bookmarkEnd w:id="28"/>
    </w:p>
    <w:p w:rsidR="00C60FB5" w:rsidRPr="00E83937" w:rsidRDefault="00C60FB5" w:rsidP="00C60FB5">
      <w:pPr>
        <w:spacing w:line="360" w:lineRule="auto"/>
        <w:ind w:firstLineChars="200" w:firstLine="643"/>
        <w:rPr>
          <w:rFonts w:ascii="仿宋" w:eastAsia="仿宋" w:hAnsi="仿宋"/>
          <w:kern w:val="0"/>
          <w:sz w:val="32"/>
          <w:szCs w:val="32"/>
        </w:rPr>
      </w:pPr>
      <w:bookmarkStart w:id="29" w:name="_Toc14101107"/>
      <w:r w:rsidRPr="00E83937">
        <w:rPr>
          <w:rStyle w:val="3Char"/>
          <w:rFonts w:ascii="仿宋" w:eastAsia="仿宋" w:hAnsi="仿宋" w:hint="eastAsia"/>
          <w:kern w:val="0"/>
        </w:rPr>
        <w:t>第五十九条</w:t>
      </w:r>
      <w:bookmarkEnd w:id="29"/>
      <w:r w:rsidRPr="00E83937">
        <w:rPr>
          <w:rStyle w:val="3Char"/>
          <w:rFonts w:ascii="仿宋" w:eastAsia="仿宋" w:hAnsi="仿宋" w:hint="eastAsia"/>
          <w:kern w:val="0"/>
        </w:rPr>
        <w:t xml:space="preserve"> </w:t>
      </w:r>
      <w:r w:rsidRPr="00E83937">
        <w:rPr>
          <w:rFonts w:ascii="仿宋" w:eastAsia="仿宋" w:hAnsi="仿宋" w:hint="eastAsia"/>
          <w:kern w:val="0"/>
          <w:sz w:val="32"/>
          <w:szCs w:val="32"/>
        </w:rPr>
        <w:t>税务师事务所承办银行业增值税纳税申报代理业务应按照《涉税专业服务程序指引（试行）》、《纳税申报代理业务指引(试行)》和《增值税纳税申报代理业务指引（试行）》规定，办理报告确认、留存备查、整理归档、报告提醒、保密要求等业务报告事项。</w:t>
      </w:r>
    </w:p>
    <w:p w:rsidR="00C60FB5" w:rsidRPr="00E83937" w:rsidRDefault="00C60FB5" w:rsidP="00C60FB5">
      <w:pPr>
        <w:pStyle w:val="a5"/>
        <w:spacing w:line="360" w:lineRule="auto"/>
        <w:ind w:firstLine="643"/>
        <w:rPr>
          <w:rFonts w:ascii="仿宋" w:eastAsia="仿宋" w:hAnsi="仿宋" w:cs="宋体"/>
          <w:kern w:val="0"/>
          <w:sz w:val="32"/>
          <w:szCs w:val="32"/>
        </w:rPr>
      </w:pPr>
      <w:bookmarkStart w:id="30" w:name="_Toc14101108"/>
      <w:r w:rsidRPr="00E83937">
        <w:rPr>
          <w:rStyle w:val="3Char"/>
          <w:rFonts w:ascii="仿宋" w:eastAsia="仿宋" w:hAnsi="仿宋" w:hint="eastAsia"/>
          <w:kern w:val="0"/>
        </w:rPr>
        <w:t>第六十条</w:t>
      </w:r>
      <w:bookmarkEnd w:id="30"/>
      <w:r w:rsidRPr="00E83937">
        <w:rPr>
          <w:rStyle w:val="3Char"/>
          <w:rFonts w:ascii="仿宋" w:eastAsia="仿宋" w:hAnsi="仿宋" w:hint="eastAsia"/>
          <w:kern w:val="0"/>
        </w:rPr>
        <w:t xml:space="preserve"> </w:t>
      </w:r>
      <w:r w:rsidRPr="00E83937">
        <w:rPr>
          <w:rFonts w:ascii="仿宋" w:eastAsia="仿宋" w:hAnsi="仿宋" w:cs="宋体" w:hint="eastAsia"/>
          <w:kern w:val="0"/>
          <w:sz w:val="32"/>
          <w:szCs w:val="32"/>
        </w:rPr>
        <w:t>税务师事务所承办银行业增值税纳税申报代理业务应当按照</w:t>
      </w:r>
      <w:r w:rsidRPr="00E83937">
        <w:rPr>
          <w:rFonts w:ascii="仿宋" w:eastAsia="仿宋" w:hAnsi="仿宋" w:hint="eastAsia"/>
          <w:kern w:val="0"/>
          <w:sz w:val="32"/>
          <w:szCs w:val="32"/>
        </w:rPr>
        <w:t>《涉税专业服务程序指引（试行）》、《</w:t>
      </w:r>
      <w:r w:rsidRPr="00E83937">
        <w:rPr>
          <w:rFonts w:ascii="仿宋" w:eastAsia="仿宋" w:hAnsi="仿宋" w:cs="宋体" w:hint="eastAsia"/>
          <w:kern w:val="0"/>
          <w:sz w:val="32"/>
          <w:szCs w:val="32"/>
        </w:rPr>
        <w:t>纳税申报代理业务指引(试行)</w:t>
      </w:r>
      <w:r w:rsidRPr="00E83937">
        <w:rPr>
          <w:rFonts w:ascii="仿宋" w:eastAsia="仿宋" w:hAnsi="仿宋" w:hint="eastAsia"/>
          <w:kern w:val="0"/>
          <w:sz w:val="32"/>
          <w:szCs w:val="32"/>
        </w:rPr>
        <w:t>》和《增值税纳税申报代理业务指引（试行）》等相关规定</w:t>
      </w:r>
      <w:r w:rsidRPr="00E83937">
        <w:rPr>
          <w:rFonts w:ascii="仿宋" w:eastAsia="仿宋" w:hAnsi="仿宋" w:cs="宋体" w:hint="eastAsia"/>
          <w:kern w:val="0"/>
          <w:sz w:val="32"/>
          <w:szCs w:val="32"/>
        </w:rPr>
        <w:t>建立档案管理制度。</w:t>
      </w:r>
    </w:p>
    <w:p w:rsidR="00C60FB5" w:rsidRPr="00E83937" w:rsidRDefault="00C60FB5" w:rsidP="00C60FB5">
      <w:pPr>
        <w:pStyle w:val="2"/>
        <w:jc w:val="center"/>
        <w:rPr>
          <w:rFonts w:ascii="仿宋" w:eastAsia="仿宋" w:hAnsi="仿宋"/>
          <w:b w:val="0"/>
          <w:kern w:val="0"/>
        </w:rPr>
      </w:pPr>
      <w:bookmarkStart w:id="31" w:name="_Toc14101109"/>
      <w:bookmarkStart w:id="32" w:name="_Toc14101430"/>
      <w:bookmarkStart w:id="33" w:name="_Toc14162746"/>
      <w:bookmarkStart w:id="34" w:name="_GoBack"/>
      <w:bookmarkEnd w:id="34"/>
      <w:r w:rsidRPr="00E83937">
        <w:rPr>
          <w:rFonts w:ascii="仿宋" w:eastAsia="仿宋" w:hAnsi="仿宋" w:hint="eastAsia"/>
          <w:kern w:val="0"/>
        </w:rPr>
        <w:t>第五章</w:t>
      </w:r>
      <w:r w:rsidRPr="00E83937">
        <w:rPr>
          <w:rFonts w:ascii="仿宋" w:eastAsia="仿宋" w:hAnsi="仿宋"/>
          <w:kern w:val="0"/>
        </w:rPr>
        <w:t xml:space="preserve">  </w:t>
      </w:r>
      <w:r w:rsidRPr="00E83937">
        <w:rPr>
          <w:rFonts w:ascii="仿宋" w:eastAsia="仿宋" w:hAnsi="仿宋" w:hint="eastAsia"/>
          <w:kern w:val="0"/>
        </w:rPr>
        <w:t>附</w:t>
      </w:r>
      <w:r w:rsidRPr="00E83937">
        <w:rPr>
          <w:rFonts w:ascii="仿宋" w:eastAsia="仿宋" w:hAnsi="仿宋"/>
          <w:kern w:val="0"/>
        </w:rPr>
        <w:t xml:space="preserve"> </w:t>
      </w:r>
      <w:r w:rsidRPr="00E83937">
        <w:rPr>
          <w:rFonts w:ascii="仿宋" w:eastAsia="仿宋" w:hAnsi="仿宋" w:hint="eastAsia"/>
          <w:kern w:val="0"/>
        </w:rPr>
        <w:t>则</w:t>
      </w:r>
      <w:bookmarkEnd w:id="31"/>
      <w:bookmarkEnd w:id="32"/>
      <w:bookmarkEnd w:id="33"/>
    </w:p>
    <w:p w:rsidR="00C60FB5" w:rsidRPr="00E83937" w:rsidRDefault="00C60FB5" w:rsidP="00C60FB5">
      <w:pPr>
        <w:spacing w:line="360" w:lineRule="auto"/>
        <w:ind w:firstLineChars="200" w:firstLine="643"/>
        <w:rPr>
          <w:rFonts w:ascii="仿宋" w:eastAsia="仿宋" w:hAnsi="仿宋"/>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六十一</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kern w:val="0"/>
          <w:sz w:val="32"/>
          <w:szCs w:val="32"/>
        </w:rPr>
        <w:t>本</w:t>
      </w:r>
      <w:r w:rsidRPr="00E83937">
        <w:rPr>
          <w:rFonts w:ascii="仿宋" w:eastAsia="仿宋" w:hAnsi="仿宋" w:hint="eastAsia"/>
          <w:kern w:val="0"/>
          <w:sz w:val="32"/>
          <w:szCs w:val="32"/>
        </w:rPr>
        <w:t>指引</w:t>
      </w:r>
      <w:r w:rsidRPr="00E83937">
        <w:rPr>
          <w:rFonts w:ascii="仿宋" w:eastAsia="仿宋" w:hAnsi="仿宋"/>
          <w:kern w:val="0"/>
          <w:sz w:val="32"/>
          <w:szCs w:val="32"/>
        </w:rPr>
        <w:t>自2019年8月1日起</w:t>
      </w:r>
      <w:r w:rsidRPr="00E83937">
        <w:rPr>
          <w:rFonts w:ascii="仿宋" w:eastAsia="仿宋" w:hAnsi="仿宋" w:hint="eastAsia"/>
          <w:kern w:val="0"/>
          <w:sz w:val="32"/>
          <w:szCs w:val="32"/>
        </w:rPr>
        <w:t>试行</w:t>
      </w:r>
      <w:r w:rsidRPr="00E83937">
        <w:rPr>
          <w:rFonts w:ascii="仿宋" w:eastAsia="仿宋" w:hAnsi="仿宋"/>
          <w:kern w:val="0"/>
          <w:sz w:val="32"/>
          <w:szCs w:val="32"/>
        </w:rPr>
        <w:t>。</w:t>
      </w:r>
      <w:r w:rsidRPr="00E83937">
        <w:rPr>
          <w:rFonts w:ascii="仿宋" w:eastAsia="仿宋" w:hAnsi="仿宋"/>
          <w:kern w:val="0"/>
          <w:sz w:val="32"/>
          <w:szCs w:val="32"/>
        </w:rPr>
        <w:tab/>
      </w:r>
    </w:p>
    <w:p w:rsidR="00C60FB5" w:rsidRDefault="00C60FB5">
      <w:pPr>
        <w:widowControl/>
        <w:jc w:val="left"/>
        <w:rPr>
          <w:rFonts w:ascii="仿宋" w:eastAsia="仿宋" w:hAnsi="仿宋"/>
          <w:kern w:val="0"/>
          <w:sz w:val="32"/>
          <w:szCs w:val="32"/>
        </w:rPr>
      </w:pPr>
      <w:r>
        <w:rPr>
          <w:rFonts w:ascii="仿宋" w:eastAsia="仿宋" w:hAnsi="仿宋"/>
          <w:kern w:val="0"/>
          <w:sz w:val="32"/>
          <w:szCs w:val="32"/>
        </w:rPr>
        <w:br w:type="page"/>
      </w:r>
    </w:p>
    <w:p w:rsidR="00C60FB5" w:rsidRPr="00E83937" w:rsidRDefault="00C60FB5" w:rsidP="00C60FB5">
      <w:pPr>
        <w:spacing w:line="360" w:lineRule="auto"/>
        <w:jc w:val="left"/>
        <w:rPr>
          <w:rFonts w:ascii="仿宋" w:eastAsia="仿宋" w:hAnsi="仿宋"/>
          <w:b/>
          <w:kern w:val="0"/>
          <w:sz w:val="32"/>
          <w:szCs w:val="32"/>
        </w:rPr>
      </w:pPr>
      <w:r w:rsidRPr="00E83937">
        <w:rPr>
          <w:rFonts w:ascii="仿宋" w:eastAsia="仿宋" w:hAnsi="仿宋" w:hint="eastAsia"/>
          <w:b/>
          <w:kern w:val="0"/>
          <w:sz w:val="32"/>
          <w:szCs w:val="32"/>
        </w:rPr>
        <w:lastRenderedPageBreak/>
        <w:t>附件：</w:t>
      </w:r>
    </w:p>
    <w:p w:rsidR="00C60FB5" w:rsidRPr="00E83937" w:rsidRDefault="00C60FB5" w:rsidP="00C60FB5">
      <w:pPr>
        <w:tabs>
          <w:tab w:val="right" w:pos="8306"/>
        </w:tabs>
        <w:adjustRightInd w:val="0"/>
        <w:spacing w:line="360" w:lineRule="auto"/>
        <w:ind w:firstLineChars="132" w:firstLine="424"/>
        <w:jc w:val="center"/>
        <w:rPr>
          <w:rFonts w:ascii="仿宋" w:eastAsia="仿宋" w:hAnsi="仿宋"/>
          <w:b/>
          <w:kern w:val="0"/>
          <w:sz w:val="32"/>
          <w:szCs w:val="32"/>
        </w:rPr>
      </w:pPr>
      <w:r w:rsidRPr="00E83937">
        <w:rPr>
          <w:rFonts w:ascii="仿宋" w:eastAsia="仿宋" w:hAnsi="仿宋" w:hint="eastAsia"/>
          <w:b/>
          <w:kern w:val="0"/>
          <w:sz w:val="32"/>
          <w:szCs w:val="32"/>
        </w:rPr>
        <w:t>银行业增值税纳税申报代理业务报告（参考文本）</w:t>
      </w:r>
    </w:p>
    <w:p w:rsidR="00C60FB5" w:rsidRPr="00E83937" w:rsidRDefault="00C60FB5" w:rsidP="00C60FB5">
      <w:pPr>
        <w:adjustRightInd w:val="0"/>
        <w:spacing w:line="360" w:lineRule="auto"/>
        <w:ind w:right="120" w:firstLineChars="200" w:firstLine="640"/>
        <w:jc w:val="right"/>
        <w:rPr>
          <w:rFonts w:ascii="仿宋" w:eastAsia="仿宋" w:hAnsi="仿宋"/>
          <w:kern w:val="0"/>
          <w:sz w:val="32"/>
          <w:szCs w:val="32"/>
        </w:rPr>
      </w:pPr>
      <w:r w:rsidRPr="00E83937">
        <w:rPr>
          <w:rFonts w:ascii="仿宋" w:eastAsia="仿宋" w:hAnsi="仿宋" w:hint="eastAsia"/>
          <w:kern w:val="0"/>
          <w:sz w:val="32"/>
          <w:szCs w:val="32"/>
        </w:rPr>
        <w:t>报告号：</w:t>
      </w:r>
    </w:p>
    <w:p w:rsidR="00C60FB5" w:rsidRPr="00E83937" w:rsidRDefault="00C60FB5" w:rsidP="00C60FB5">
      <w:pPr>
        <w:adjustRightInd w:val="0"/>
        <w:spacing w:line="360" w:lineRule="auto"/>
        <w:ind w:right="120" w:firstLineChars="200" w:firstLine="640"/>
        <w:jc w:val="right"/>
        <w:rPr>
          <w:rFonts w:ascii="仿宋" w:eastAsia="仿宋" w:hAnsi="仿宋"/>
          <w:kern w:val="0"/>
          <w:sz w:val="32"/>
          <w:szCs w:val="32"/>
        </w:rPr>
      </w:pPr>
      <w:r w:rsidRPr="00E83937">
        <w:rPr>
          <w:rFonts w:ascii="仿宋" w:eastAsia="仿宋" w:hAnsi="仿宋" w:hint="eastAsia"/>
          <w:kern w:val="0"/>
          <w:sz w:val="32"/>
          <w:szCs w:val="32"/>
        </w:rPr>
        <w:t>备案号：</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 xml:space="preserve">_____ </w:t>
      </w:r>
      <w:r w:rsidRPr="00E83937">
        <w:rPr>
          <w:rFonts w:ascii="仿宋" w:eastAsia="仿宋" w:hAnsi="仿宋" w:hint="eastAsia"/>
          <w:kern w:val="0"/>
          <w:sz w:val="32"/>
          <w:szCs w:val="32"/>
        </w:rPr>
        <w:t>：</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我们接受委托，对贵单位</w:t>
      </w:r>
      <w:r w:rsidRPr="00E83937">
        <w:rPr>
          <w:rFonts w:ascii="仿宋" w:eastAsia="仿宋" w:hAnsi="仿宋"/>
          <w:kern w:val="0"/>
          <w:sz w:val="32"/>
          <w:szCs w:val="32"/>
        </w:rPr>
        <w:t>_____年_____</w:t>
      </w:r>
      <w:r w:rsidRPr="00E83937">
        <w:rPr>
          <w:rFonts w:ascii="仿宋" w:eastAsia="仿宋" w:hAnsi="仿宋" w:hint="eastAsia"/>
          <w:kern w:val="0"/>
          <w:sz w:val="32"/>
          <w:szCs w:val="32"/>
        </w:rPr>
        <w:t>月</w:t>
      </w:r>
      <w:r w:rsidRPr="00E83937">
        <w:rPr>
          <w:rFonts w:ascii="仿宋" w:eastAsia="仿宋" w:hAnsi="仿宋"/>
          <w:kern w:val="0"/>
          <w:sz w:val="32"/>
          <w:szCs w:val="32"/>
        </w:rPr>
        <w:t>_____日至_____年_____</w:t>
      </w:r>
      <w:r w:rsidRPr="00E83937">
        <w:rPr>
          <w:rFonts w:ascii="仿宋" w:eastAsia="仿宋" w:hAnsi="仿宋" w:hint="eastAsia"/>
          <w:kern w:val="0"/>
          <w:sz w:val="32"/>
          <w:szCs w:val="32"/>
        </w:rPr>
        <w:t>月</w:t>
      </w:r>
      <w:r w:rsidRPr="00E83937">
        <w:rPr>
          <w:rFonts w:ascii="仿宋" w:eastAsia="仿宋" w:hAnsi="仿宋"/>
          <w:kern w:val="0"/>
          <w:sz w:val="32"/>
          <w:szCs w:val="32"/>
        </w:rPr>
        <w:t>_____日期间的增值税纳税申报事项进行</w:t>
      </w:r>
      <w:r w:rsidRPr="00E83937">
        <w:rPr>
          <w:rFonts w:ascii="仿宋" w:eastAsia="仿宋" w:hAnsi="仿宋" w:hint="eastAsia"/>
          <w:kern w:val="0"/>
          <w:sz w:val="32"/>
          <w:szCs w:val="32"/>
        </w:rPr>
        <w:t>关注</w:t>
      </w:r>
      <w:r w:rsidRPr="00E83937">
        <w:rPr>
          <w:rFonts w:ascii="仿宋" w:eastAsia="仿宋" w:hAnsi="仿宋"/>
          <w:kern w:val="0"/>
          <w:sz w:val="32"/>
          <w:szCs w:val="32"/>
        </w:rPr>
        <w:t>，代理增值税纳税申报业务，并出具</w:t>
      </w:r>
      <w:r w:rsidRPr="00E83937">
        <w:rPr>
          <w:rFonts w:ascii="仿宋" w:eastAsia="仿宋" w:hAnsi="仿宋" w:hint="eastAsia"/>
          <w:kern w:val="0"/>
          <w:sz w:val="32"/>
          <w:szCs w:val="32"/>
        </w:rPr>
        <w:t>纳税申报</w:t>
      </w:r>
      <w:r w:rsidRPr="00E83937">
        <w:rPr>
          <w:rFonts w:ascii="仿宋" w:eastAsia="仿宋" w:hAnsi="仿宋"/>
          <w:kern w:val="0"/>
          <w:sz w:val="32"/>
          <w:szCs w:val="32"/>
        </w:rPr>
        <w:t>代理</w:t>
      </w:r>
      <w:r w:rsidRPr="00E83937">
        <w:rPr>
          <w:rFonts w:ascii="仿宋" w:eastAsia="仿宋" w:hAnsi="仿宋" w:hint="eastAsia"/>
          <w:kern w:val="0"/>
          <w:sz w:val="32"/>
          <w:szCs w:val="32"/>
        </w:rPr>
        <w:t>业务</w:t>
      </w:r>
      <w:r w:rsidRPr="00E83937">
        <w:rPr>
          <w:rFonts w:ascii="仿宋" w:eastAsia="仿宋" w:hAnsi="仿宋"/>
          <w:kern w:val="0"/>
          <w:sz w:val="32"/>
          <w:szCs w:val="32"/>
        </w:rPr>
        <w:t>报告。</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贵单位的责任是，及时提供与增值税纳税申报有关的会计资料和纳税资料，并保证其真实、准确、完整和合法。</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验证和职业判断等必要的业务程序。现将服务结果报告如下：</w:t>
      </w:r>
    </w:p>
    <w:p w:rsidR="00C60FB5" w:rsidRPr="00E83937" w:rsidRDefault="00C60FB5" w:rsidP="00C60FB5">
      <w:pPr>
        <w:adjustRightInd w:val="0"/>
        <w:spacing w:line="360" w:lineRule="auto"/>
        <w:ind w:firstLine="200"/>
        <w:rPr>
          <w:rFonts w:ascii="仿宋" w:eastAsia="仿宋" w:hAnsi="仿宋" w:cs="Arial"/>
          <w:kern w:val="0"/>
          <w:sz w:val="32"/>
          <w:szCs w:val="32"/>
        </w:rPr>
      </w:pPr>
      <w:r w:rsidRPr="00E83937">
        <w:rPr>
          <w:rFonts w:ascii="仿宋" w:eastAsia="仿宋" w:hAnsi="仿宋" w:cs="Arial" w:hint="eastAsia"/>
          <w:kern w:val="0"/>
          <w:sz w:val="32"/>
          <w:szCs w:val="32"/>
        </w:rPr>
        <w:t>一、增值税纳税申报准备</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按适用税率计税销售额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按简易办法计税销售额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免税销售额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销项税额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进项税额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上期留抵税额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进项税额转出额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纳税检查应补缴税额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应纳税额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期末留抵税额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应纳税额减征额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应纳税额合计</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期末未缴税额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本期已缴税额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期末未缴税额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即征即</w:t>
      </w:r>
      <w:proofErr w:type="gramStart"/>
      <w:r w:rsidRPr="00E83937">
        <w:rPr>
          <w:rFonts w:ascii="仿宋" w:eastAsia="仿宋" w:hAnsi="仿宋" w:hint="eastAsia"/>
          <w:kern w:val="0"/>
          <w:sz w:val="32"/>
          <w:szCs w:val="32"/>
        </w:rPr>
        <w:t>退实际</w:t>
      </w:r>
      <w:proofErr w:type="gramEnd"/>
      <w:r w:rsidRPr="00E83937">
        <w:rPr>
          <w:rFonts w:ascii="仿宋" w:eastAsia="仿宋" w:hAnsi="仿宋" w:hint="eastAsia"/>
          <w:kern w:val="0"/>
          <w:sz w:val="32"/>
          <w:szCs w:val="32"/>
        </w:rPr>
        <w:t>退税额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期初未缴查补税额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本期入库查补税额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期末未缴查补税额</w:t>
      </w:r>
      <w:r w:rsidRPr="00E83937">
        <w:rPr>
          <w:rFonts w:ascii="仿宋" w:eastAsia="仿宋" w:hAnsi="仿宋"/>
          <w:kern w:val="0"/>
          <w:sz w:val="32"/>
          <w:szCs w:val="32"/>
        </w:rPr>
        <w:t xml:space="preserve">               _____元。</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二、增值税纳税申报代理</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（一）涉税事项判断</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在代理增值税纳税申报业务中，我们已经对委托人提供</w:t>
      </w:r>
      <w:r w:rsidRPr="00E83937">
        <w:rPr>
          <w:rFonts w:ascii="仿宋" w:eastAsia="仿宋" w:hAnsi="仿宋" w:hint="eastAsia"/>
          <w:kern w:val="0"/>
          <w:sz w:val="32"/>
          <w:szCs w:val="32"/>
        </w:rPr>
        <w:lastRenderedPageBreak/>
        <w:t>的会计资料、纳税资料进行判断。代理纳税申报过程中，严格遵循税收法律法规的相关规定。按照增值税纳税申报准备业务，执行审核程序。</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（二）纳税申报方式</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确定纳税申报方式为电子申报、网络申报等方式。</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（三）纳税申报期限</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纳税人以</w:t>
      </w:r>
      <w:r w:rsidRPr="00E83937">
        <w:rPr>
          <w:rFonts w:ascii="仿宋" w:eastAsia="仿宋" w:hAnsi="仿宋"/>
          <w:kern w:val="0"/>
          <w:sz w:val="32"/>
          <w:szCs w:val="32"/>
        </w:rPr>
        <w:t>XX为1个纳税期，自期满之日起XX日内申报纳税。</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（四）纳税申报表及附列资料填列</w:t>
      </w:r>
    </w:p>
    <w:p w:rsidR="00C60FB5" w:rsidRPr="00E83937" w:rsidRDefault="00C60FB5" w:rsidP="00C60FB5">
      <w:pPr>
        <w:pStyle w:val="a5"/>
        <w:numPr>
          <w:ilvl w:val="2"/>
          <w:numId w:val="2"/>
        </w:numPr>
        <w:adjustRightInd w:val="0"/>
        <w:spacing w:line="360" w:lineRule="auto"/>
        <w:ind w:firstLineChars="0"/>
        <w:jc w:val="left"/>
        <w:rPr>
          <w:rFonts w:ascii="仿宋" w:eastAsia="仿宋" w:hAnsi="仿宋"/>
          <w:kern w:val="0"/>
          <w:sz w:val="32"/>
          <w:szCs w:val="32"/>
        </w:rPr>
      </w:pPr>
      <w:r w:rsidRPr="00E83937">
        <w:rPr>
          <w:rFonts w:ascii="仿宋" w:eastAsia="仿宋" w:hAnsi="仿宋"/>
          <w:kern w:val="0"/>
          <w:sz w:val="32"/>
          <w:szCs w:val="32"/>
        </w:rPr>
        <w:t>《增值税纳税申报表(一般纳税人适用)》；</w:t>
      </w:r>
    </w:p>
    <w:p w:rsidR="00C60FB5" w:rsidRPr="00E83937" w:rsidRDefault="00C60FB5" w:rsidP="00C60FB5">
      <w:pPr>
        <w:pStyle w:val="a5"/>
        <w:numPr>
          <w:ilvl w:val="2"/>
          <w:numId w:val="2"/>
        </w:numPr>
        <w:adjustRightInd w:val="0"/>
        <w:spacing w:line="360" w:lineRule="auto"/>
        <w:ind w:firstLineChars="0"/>
        <w:jc w:val="left"/>
        <w:rPr>
          <w:rFonts w:ascii="仿宋" w:eastAsia="仿宋" w:hAnsi="仿宋"/>
          <w:kern w:val="0"/>
          <w:sz w:val="32"/>
          <w:szCs w:val="32"/>
        </w:rPr>
      </w:pPr>
      <w:r w:rsidRPr="00E83937">
        <w:rPr>
          <w:rFonts w:ascii="仿宋" w:eastAsia="仿宋" w:hAnsi="仿宋"/>
          <w:kern w:val="0"/>
          <w:sz w:val="32"/>
          <w:szCs w:val="32"/>
        </w:rPr>
        <w:t>《增值税纳税申报表附列资料(一)》(本期销售情况明细)；</w:t>
      </w:r>
    </w:p>
    <w:p w:rsidR="00C60FB5" w:rsidRPr="00E83937" w:rsidRDefault="00C60FB5" w:rsidP="00C60FB5">
      <w:pPr>
        <w:pStyle w:val="a5"/>
        <w:numPr>
          <w:ilvl w:val="2"/>
          <w:numId w:val="2"/>
        </w:numPr>
        <w:adjustRightInd w:val="0"/>
        <w:spacing w:line="360" w:lineRule="auto"/>
        <w:ind w:firstLineChars="0"/>
        <w:jc w:val="left"/>
        <w:rPr>
          <w:rFonts w:ascii="仿宋" w:eastAsia="仿宋" w:hAnsi="仿宋"/>
          <w:kern w:val="0"/>
          <w:sz w:val="32"/>
          <w:szCs w:val="32"/>
        </w:rPr>
      </w:pPr>
      <w:r w:rsidRPr="00E83937">
        <w:rPr>
          <w:rFonts w:ascii="仿宋" w:eastAsia="仿宋" w:hAnsi="仿宋"/>
          <w:kern w:val="0"/>
          <w:sz w:val="32"/>
          <w:szCs w:val="32"/>
        </w:rPr>
        <w:t>《增值税纳税申报表附列资料(二)》（本期进项税额明细）；</w:t>
      </w:r>
    </w:p>
    <w:p w:rsidR="00C60FB5" w:rsidRPr="00E83937" w:rsidRDefault="00C60FB5" w:rsidP="00C60FB5">
      <w:pPr>
        <w:pStyle w:val="a5"/>
        <w:numPr>
          <w:ilvl w:val="2"/>
          <w:numId w:val="2"/>
        </w:numPr>
        <w:adjustRightInd w:val="0"/>
        <w:spacing w:line="360" w:lineRule="auto"/>
        <w:ind w:firstLineChars="0"/>
        <w:jc w:val="left"/>
        <w:rPr>
          <w:rFonts w:ascii="仿宋" w:eastAsia="仿宋" w:hAnsi="仿宋"/>
          <w:kern w:val="0"/>
          <w:sz w:val="32"/>
          <w:szCs w:val="32"/>
        </w:rPr>
      </w:pPr>
      <w:r w:rsidRPr="00E83937">
        <w:rPr>
          <w:rFonts w:ascii="仿宋" w:eastAsia="仿宋" w:hAnsi="仿宋"/>
          <w:kern w:val="0"/>
          <w:sz w:val="32"/>
          <w:szCs w:val="32"/>
        </w:rPr>
        <w:t>《增值税纳税申报表附列资料(三)》(服务、不动产和无形资产扣除项目明细)；</w:t>
      </w:r>
    </w:p>
    <w:p w:rsidR="00C60FB5" w:rsidRPr="00E83937" w:rsidRDefault="00C60FB5" w:rsidP="00C60FB5">
      <w:pPr>
        <w:pStyle w:val="a5"/>
        <w:numPr>
          <w:ilvl w:val="2"/>
          <w:numId w:val="2"/>
        </w:numPr>
        <w:adjustRightInd w:val="0"/>
        <w:spacing w:line="360" w:lineRule="auto"/>
        <w:ind w:firstLineChars="0"/>
        <w:rPr>
          <w:rFonts w:ascii="仿宋" w:eastAsia="仿宋" w:hAnsi="仿宋"/>
          <w:kern w:val="0"/>
          <w:sz w:val="32"/>
          <w:szCs w:val="32"/>
        </w:rPr>
      </w:pPr>
      <w:r w:rsidRPr="00E83937">
        <w:rPr>
          <w:rFonts w:ascii="仿宋" w:eastAsia="仿宋" w:hAnsi="仿宋"/>
          <w:kern w:val="0"/>
          <w:sz w:val="32"/>
          <w:szCs w:val="32"/>
        </w:rPr>
        <w:t>《增值税纳税申报表附列资料（四）》（税额抵减情况表）；</w:t>
      </w:r>
    </w:p>
    <w:p w:rsidR="00C60FB5" w:rsidRPr="00E83937" w:rsidRDefault="00C60FB5" w:rsidP="00C60FB5">
      <w:pPr>
        <w:pStyle w:val="a5"/>
        <w:numPr>
          <w:ilvl w:val="2"/>
          <w:numId w:val="2"/>
        </w:numPr>
        <w:adjustRightInd w:val="0"/>
        <w:spacing w:line="360" w:lineRule="auto"/>
        <w:ind w:firstLineChars="0"/>
        <w:rPr>
          <w:rFonts w:ascii="仿宋" w:eastAsia="仿宋" w:hAnsi="仿宋"/>
          <w:kern w:val="0"/>
          <w:sz w:val="32"/>
          <w:szCs w:val="32"/>
        </w:rPr>
      </w:pPr>
      <w:r w:rsidRPr="00E83937">
        <w:rPr>
          <w:rFonts w:ascii="仿宋" w:eastAsia="仿宋" w:hAnsi="仿宋"/>
          <w:kern w:val="0"/>
          <w:sz w:val="32"/>
          <w:szCs w:val="32"/>
        </w:rPr>
        <w:t>《增值税减免税申报明细表》</w:t>
      </w:r>
      <w:r w:rsidRPr="00E83937">
        <w:rPr>
          <w:rFonts w:ascii="仿宋" w:eastAsia="仿宋" w:hAnsi="仿宋" w:hint="eastAsia"/>
          <w:kern w:val="0"/>
          <w:sz w:val="32"/>
          <w:szCs w:val="32"/>
        </w:rPr>
        <w:t>；</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（五）办理增值税纳税申报。</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本报告仅供贵公司</w:t>
      </w:r>
      <w:r w:rsidRPr="00E83937">
        <w:rPr>
          <w:rFonts w:ascii="仿宋" w:eastAsia="仿宋" w:hAnsi="仿宋"/>
          <w:kern w:val="0"/>
          <w:sz w:val="32"/>
          <w:szCs w:val="32"/>
        </w:rPr>
        <w:t>_____时使用，不作其他用途。因使用不当造成的后果，与执行本纳税申报服务业务的机构及其</w:t>
      </w:r>
      <w:r w:rsidRPr="00E83937">
        <w:rPr>
          <w:rFonts w:ascii="仿宋" w:eastAsia="仿宋" w:hAnsi="仿宋"/>
          <w:kern w:val="0"/>
          <w:sz w:val="32"/>
          <w:szCs w:val="32"/>
        </w:rPr>
        <w:lastRenderedPageBreak/>
        <w:t>服务人员无关。</w:t>
      </w:r>
    </w:p>
    <w:p w:rsidR="00C60FB5" w:rsidRPr="00E83937" w:rsidRDefault="00C60FB5" w:rsidP="00C60FB5">
      <w:pPr>
        <w:adjustRightInd w:val="0"/>
        <w:spacing w:line="360" w:lineRule="auto"/>
        <w:ind w:firstLineChars="200" w:firstLine="640"/>
        <w:rPr>
          <w:rFonts w:ascii="仿宋" w:eastAsia="仿宋" w:hAnsi="仿宋"/>
          <w:kern w:val="0"/>
          <w:sz w:val="32"/>
          <w:szCs w:val="32"/>
        </w:rPr>
      </w:pPr>
    </w:p>
    <w:p w:rsidR="00C60FB5" w:rsidRPr="00E83937" w:rsidRDefault="00C60FB5" w:rsidP="00C60FB5">
      <w:pPr>
        <w:adjustRightInd w:val="0"/>
        <w:spacing w:line="360" w:lineRule="auto"/>
        <w:ind w:firstLine="200"/>
        <w:rPr>
          <w:rFonts w:ascii="仿宋" w:eastAsia="仿宋" w:hAnsi="仿宋"/>
          <w:kern w:val="0"/>
          <w:sz w:val="32"/>
          <w:szCs w:val="32"/>
        </w:rPr>
      </w:pPr>
      <w:r w:rsidRPr="00E83937">
        <w:rPr>
          <w:rFonts w:ascii="仿宋" w:eastAsia="仿宋" w:hAnsi="仿宋" w:hint="eastAsia"/>
          <w:kern w:val="0"/>
          <w:sz w:val="32"/>
          <w:szCs w:val="32"/>
        </w:rPr>
        <w:t>涉税服务人员：（签盖章）</w:t>
      </w:r>
    </w:p>
    <w:p w:rsidR="00C60FB5" w:rsidRPr="00E83937" w:rsidRDefault="00C60FB5" w:rsidP="00C60FB5">
      <w:pPr>
        <w:adjustRightInd w:val="0"/>
        <w:spacing w:line="360" w:lineRule="auto"/>
        <w:ind w:firstLine="200"/>
        <w:rPr>
          <w:rFonts w:ascii="仿宋" w:eastAsia="仿宋" w:hAnsi="仿宋"/>
          <w:kern w:val="0"/>
          <w:sz w:val="32"/>
          <w:szCs w:val="32"/>
        </w:rPr>
      </w:pPr>
      <w:r w:rsidRPr="00E83937">
        <w:rPr>
          <w:rFonts w:ascii="仿宋" w:eastAsia="仿宋" w:hAnsi="仿宋" w:hint="eastAsia"/>
          <w:kern w:val="0"/>
          <w:sz w:val="32"/>
          <w:szCs w:val="32"/>
        </w:rPr>
        <w:t>法人代表：（签章）</w:t>
      </w:r>
    </w:p>
    <w:p w:rsidR="00C60FB5" w:rsidRPr="00E83937" w:rsidRDefault="00C60FB5" w:rsidP="00C60FB5">
      <w:pPr>
        <w:tabs>
          <w:tab w:val="left" w:pos="2110"/>
        </w:tabs>
        <w:adjustRightInd w:val="0"/>
        <w:spacing w:line="360" w:lineRule="auto"/>
        <w:ind w:firstLine="200"/>
        <w:rPr>
          <w:rFonts w:ascii="仿宋" w:eastAsia="仿宋" w:hAnsi="仿宋"/>
          <w:kern w:val="0"/>
          <w:sz w:val="32"/>
          <w:szCs w:val="32"/>
        </w:rPr>
      </w:pPr>
      <w:r w:rsidRPr="00E83937">
        <w:rPr>
          <w:rFonts w:ascii="宋体" w:hAnsi="宋体" w:hint="eastAsia"/>
          <w:kern w:val="0"/>
          <w:sz w:val="32"/>
          <w:szCs w:val="32"/>
        </w:rPr>
        <w:t> </w:t>
      </w:r>
      <w:r w:rsidRPr="00E83937">
        <w:rPr>
          <w:rFonts w:ascii="仿宋" w:eastAsia="仿宋" w:hAnsi="仿宋"/>
          <w:kern w:val="0"/>
          <w:sz w:val="32"/>
          <w:szCs w:val="32"/>
        </w:rPr>
        <w:tab/>
      </w:r>
    </w:p>
    <w:p w:rsidR="00C60FB5" w:rsidRPr="00E83937" w:rsidRDefault="00C60FB5" w:rsidP="00C60FB5">
      <w:pPr>
        <w:adjustRightInd w:val="0"/>
        <w:spacing w:line="360" w:lineRule="auto"/>
        <w:ind w:firstLine="200"/>
        <w:rPr>
          <w:rFonts w:ascii="仿宋" w:eastAsia="仿宋" w:hAnsi="仿宋"/>
          <w:kern w:val="0"/>
          <w:sz w:val="32"/>
          <w:szCs w:val="32"/>
        </w:rPr>
      </w:pPr>
      <w:r w:rsidRPr="00E83937">
        <w:rPr>
          <w:rFonts w:ascii="仿宋" w:eastAsia="仿宋" w:hAnsi="仿宋" w:hint="eastAsia"/>
          <w:kern w:val="0"/>
          <w:sz w:val="32"/>
          <w:szCs w:val="32"/>
        </w:rPr>
        <w:t>税务师事务所（盖章）</w:t>
      </w:r>
    </w:p>
    <w:p w:rsidR="00C60FB5" w:rsidRPr="00E83937" w:rsidRDefault="00C60FB5" w:rsidP="00C60FB5">
      <w:pPr>
        <w:adjustRightInd w:val="0"/>
        <w:spacing w:line="360" w:lineRule="auto"/>
        <w:ind w:firstLine="200"/>
        <w:rPr>
          <w:rFonts w:ascii="仿宋" w:eastAsia="仿宋" w:hAnsi="仿宋"/>
          <w:kern w:val="0"/>
          <w:sz w:val="32"/>
          <w:szCs w:val="32"/>
        </w:rPr>
      </w:pPr>
      <w:r w:rsidRPr="00E83937">
        <w:rPr>
          <w:rFonts w:ascii="仿宋" w:eastAsia="仿宋" w:hAnsi="仿宋" w:hint="eastAsia"/>
          <w:kern w:val="0"/>
          <w:sz w:val="32"/>
          <w:szCs w:val="32"/>
        </w:rPr>
        <w:t>地址：</w:t>
      </w:r>
      <w:r w:rsidRPr="00E83937">
        <w:rPr>
          <w:rFonts w:ascii="仿宋" w:eastAsia="仿宋" w:hAnsi="仿宋"/>
          <w:kern w:val="0"/>
          <w:sz w:val="32"/>
          <w:szCs w:val="32"/>
        </w:rPr>
        <w:t xml:space="preserve"> </w:t>
      </w:r>
    </w:p>
    <w:p w:rsidR="00C60FB5" w:rsidRPr="00E83937" w:rsidRDefault="00C60FB5" w:rsidP="00C60FB5">
      <w:pPr>
        <w:adjustRightInd w:val="0"/>
        <w:spacing w:line="360" w:lineRule="auto"/>
        <w:ind w:firstLine="200"/>
        <w:rPr>
          <w:rFonts w:ascii="仿宋" w:eastAsia="仿宋" w:hAnsi="仿宋"/>
          <w:kern w:val="0"/>
          <w:sz w:val="32"/>
          <w:szCs w:val="32"/>
        </w:rPr>
      </w:pPr>
      <w:r w:rsidRPr="00E83937">
        <w:rPr>
          <w:rFonts w:ascii="仿宋" w:eastAsia="仿宋" w:hAnsi="仿宋" w:hint="eastAsia"/>
          <w:kern w:val="0"/>
          <w:sz w:val="32"/>
          <w:szCs w:val="32"/>
        </w:rPr>
        <w:t>日期：</w:t>
      </w: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C60FB5" w:rsidRPr="00E83937" w:rsidRDefault="00C60FB5" w:rsidP="00C60FB5">
      <w:pPr>
        <w:spacing w:line="360" w:lineRule="auto"/>
        <w:ind w:firstLineChars="200" w:firstLine="640"/>
        <w:rPr>
          <w:rFonts w:ascii="仿宋" w:eastAsia="仿宋" w:hAnsi="仿宋"/>
          <w:kern w:val="0"/>
          <w:sz w:val="32"/>
          <w:szCs w:val="32"/>
        </w:rPr>
      </w:pPr>
    </w:p>
    <w:p w:rsidR="00601765" w:rsidRPr="00C60FB5" w:rsidRDefault="00601765" w:rsidP="00C60FB5">
      <w:pPr>
        <w:widowControl/>
        <w:jc w:val="left"/>
        <w:rPr>
          <w:rFonts w:ascii="仿宋" w:eastAsia="仿宋" w:hAnsi="仿宋"/>
          <w:kern w:val="0"/>
          <w:sz w:val="32"/>
          <w:szCs w:val="32"/>
        </w:rPr>
      </w:pPr>
    </w:p>
    <w:sectPr w:rsidR="00601765" w:rsidRPr="00C60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D4" w:rsidRDefault="008E46D4" w:rsidP="00C60FB5">
      <w:r>
        <w:separator/>
      </w:r>
    </w:p>
  </w:endnote>
  <w:endnote w:type="continuationSeparator" w:id="0">
    <w:p w:rsidR="008E46D4" w:rsidRDefault="008E46D4" w:rsidP="00C6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D4" w:rsidRDefault="008E46D4" w:rsidP="00C60FB5">
      <w:r>
        <w:separator/>
      </w:r>
    </w:p>
  </w:footnote>
  <w:footnote w:type="continuationSeparator" w:id="0">
    <w:p w:rsidR="008E46D4" w:rsidRDefault="008E46D4" w:rsidP="00C60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
    <w:nsid w:val="7E64278D"/>
    <w:multiLevelType w:val="hybridMultilevel"/>
    <w:tmpl w:val="67A473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8ACC4ED0">
      <w:start w:val="1"/>
      <w:numFmt w:val="decimal"/>
      <w:lvlText w:val="%3."/>
      <w:lvlJc w:val="left"/>
      <w:pPr>
        <w:ind w:left="1260" w:hanging="20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41"/>
    <w:rsid w:val="003B7B2F"/>
    <w:rsid w:val="005B0241"/>
    <w:rsid w:val="005D67CB"/>
    <w:rsid w:val="00601765"/>
    <w:rsid w:val="008E46D4"/>
    <w:rsid w:val="009B4175"/>
    <w:rsid w:val="00C60FB5"/>
    <w:rsid w:val="00F7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60FB5"/>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C60F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C60FB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0FB5"/>
    <w:rPr>
      <w:sz w:val="18"/>
      <w:szCs w:val="18"/>
    </w:rPr>
  </w:style>
  <w:style w:type="paragraph" w:styleId="a4">
    <w:name w:val="footer"/>
    <w:basedOn w:val="a"/>
    <w:link w:val="Char0"/>
    <w:uiPriority w:val="99"/>
    <w:unhideWhenUsed/>
    <w:rsid w:val="00C60FB5"/>
    <w:pPr>
      <w:tabs>
        <w:tab w:val="center" w:pos="4153"/>
        <w:tab w:val="right" w:pos="8306"/>
      </w:tabs>
      <w:snapToGrid w:val="0"/>
      <w:jc w:val="left"/>
    </w:pPr>
    <w:rPr>
      <w:sz w:val="18"/>
      <w:szCs w:val="18"/>
    </w:rPr>
  </w:style>
  <w:style w:type="character" w:customStyle="1" w:styleId="Char0">
    <w:name w:val="页脚 Char"/>
    <w:basedOn w:val="a0"/>
    <w:link w:val="a4"/>
    <w:uiPriority w:val="99"/>
    <w:rsid w:val="00C60FB5"/>
    <w:rPr>
      <w:sz w:val="18"/>
      <w:szCs w:val="18"/>
    </w:rPr>
  </w:style>
  <w:style w:type="character" w:customStyle="1" w:styleId="1Char">
    <w:name w:val="标题 1 Char"/>
    <w:basedOn w:val="a0"/>
    <w:link w:val="1"/>
    <w:uiPriority w:val="9"/>
    <w:qFormat/>
    <w:rsid w:val="00C60FB5"/>
    <w:rPr>
      <w:rFonts w:ascii="Calibri" w:eastAsia="宋体" w:hAnsi="Calibri" w:cs="宋体"/>
      <w:b/>
      <w:bCs/>
      <w:kern w:val="44"/>
      <w:sz w:val="44"/>
      <w:szCs w:val="44"/>
    </w:rPr>
  </w:style>
  <w:style w:type="character" w:customStyle="1" w:styleId="2Char">
    <w:name w:val="标题 2 Char"/>
    <w:basedOn w:val="a0"/>
    <w:link w:val="2"/>
    <w:qFormat/>
    <w:rsid w:val="00C60FB5"/>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C60FB5"/>
    <w:rPr>
      <w:rFonts w:ascii="Times New Roman" w:eastAsia="宋体" w:hAnsi="Times New Roman" w:cs="Times New Roman"/>
      <w:b/>
      <w:bCs/>
      <w:sz w:val="32"/>
      <w:szCs w:val="32"/>
    </w:rPr>
  </w:style>
  <w:style w:type="paragraph" w:styleId="a5">
    <w:name w:val="List Paragraph"/>
    <w:basedOn w:val="a"/>
    <w:uiPriority w:val="99"/>
    <w:qFormat/>
    <w:rsid w:val="00C60FB5"/>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60FB5"/>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C60F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C60FB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0FB5"/>
    <w:rPr>
      <w:sz w:val="18"/>
      <w:szCs w:val="18"/>
    </w:rPr>
  </w:style>
  <w:style w:type="paragraph" w:styleId="a4">
    <w:name w:val="footer"/>
    <w:basedOn w:val="a"/>
    <w:link w:val="Char0"/>
    <w:uiPriority w:val="99"/>
    <w:unhideWhenUsed/>
    <w:rsid w:val="00C60FB5"/>
    <w:pPr>
      <w:tabs>
        <w:tab w:val="center" w:pos="4153"/>
        <w:tab w:val="right" w:pos="8306"/>
      </w:tabs>
      <w:snapToGrid w:val="0"/>
      <w:jc w:val="left"/>
    </w:pPr>
    <w:rPr>
      <w:sz w:val="18"/>
      <w:szCs w:val="18"/>
    </w:rPr>
  </w:style>
  <w:style w:type="character" w:customStyle="1" w:styleId="Char0">
    <w:name w:val="页脚 Char"/>
    <w:basedOn w:val="a0"/>
    <w:link w:val="a4"/>
    <w:uiPriority w:val="99"/>
    <w:rsid w:val="00C60FB5"/>
    <w:rPr>
      <w:sz w:val="18"/>
      <w:szCs w:val="18"/>
    </w:rPr>
  </w:style>
  <w:style w:type="character" w:customStyle="1" w:styleId="1Char">
    <w:name w:val="标题 1 Char"/>
    <w:basedOn w:val="a0"/>
    <w:link w:val="1"/>
    <w:uiPriority w:val="9"/>
    <w:qFormat/>
    <w:rsid w:val="00C60FB5"/>
    <w:rPr>
      <w:rFonts w:ascii="Calibri" w:eastAsia="宋体" w:hAnsi="Calibri" w:cs="宋体"/>
      <w:b/>
      <w:bCs/>
      <w:kern w:val="44"/>
      <w:sz w:val="44"/>
      <w:szCs w:val="44"/>
    </w:rPr>
  </w:style>
  <w:style w:type="character" w:customStyle="1" w:styleId="2Char">
    <w:name w:val="标题 2 Char"/>
    <w:basedOn w:val="a0"/>
    <w:link w:val="2"/>
    <w:qFormat/>
    <w:rsid w:val="00C60FB5"/>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C60FB5"/>
    <w:rPr>
      <w:rFonts w:ascii="Times New Roman" w:eastAsia="宋体" w:hAnsi="Times New Roman" w:cs="Times New Roman"/>
      <w:b/>
      <w:bCs/>
      <w:sz w:val="32"/>
      <w:szCs w:val="32"/>
    </w:rPr>
  </w:style>
  <w:style w:type="paragraph" w:styleId="a5">
    <w:name w:val="List Paragraph"/>
    <w:basedOn w:val="a"/>
    <w:uiPriority w:val="99"/>
    <w:qFormat/>
    <w:rsid w:val="00C60FB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7695238-796933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dcterms:created xsi:type="dcterms:W3CDTF">2019-08-02T02:18:00Z</dcterms:created>
  <dcterms:modified xsi:type="dcterms:W3CDTF">2019-08-02T02:18:00Z</dcterms:modified>
</cp:coreProperties>
</file>